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9E07A" w14:textId="77777777" w:rsidR="00D278E7" w:rsidRDefault="00D278E7" w:rsidP="00575212">
      <w:pPr>
        <w:spacing w:before="200" w:line="360" w:lineRule="auto"/>
      </w:pPr>
    </w:p>
    <w:p w14:paraId="1E45585A" w14:textId="77777777" w:rsidR="00D278E7" w:rsidRDefault="00000000" w:rsidP="00575212">
      <w:pPr>
        <w:spacing w:after="80" w:line="360" w:lineRule="auto"/>
        <w:jc w:val="center"/>
      </w:pPr>
      <w:r>
        <w:rPr>
          <w:b/>
          <w:bCs/>
          <w:color w:val="1F3864"/>
          <w:sz w:val="52"/>
          <w:szCs w:val="52"/>
        </w:rPr>
        <w:t>TOWN OF MENDON</w:t>
      </w:r>
    </w:p>
    <w:p w14:paraId="779C3512" w14:textId="77777777" w:rsidR="00D278E7" w:rsidRDefault="00000000" w:rsidP="00575212">
      <w:pPr>
        <w:pBdr>
          <w:top w:val="single" w:sz="8" w:space="2" w:color="1F3864"/>
          <w:bottom w:val="single" w:sz="8" w:space="2" w:color="1F3864"/>
        </w:pBdr>
        <w:spacing w:before="80" w:after="40" w:line="360" w:lineRule="auto"/>
        <w:jc w:val="center"/>
      </w:pPr>
      <w:r>
        <w:rPr>
          <w:b/>
          <w:bCs/>
          <w:color w:val="1F3864"/>
          <w:sz w:val="40"/>
          <w:szCs w:val="40"/>
        </w:rPr>
        <w:t>PROCUREMENT POLICY</w:t>
      </w:r>
    </w:p>
    <w:p w14:paraId="3EACFD42" w14:textId="77777777" w:rsidR="00D278E7" w:rsidRDefault="00000000" w:rsidP="00575212">
      <w:pPr>
        <w:spacing w:before="80" w:after="40" w:line="360" w:lineRule="auto"/>
        <w:jc w:val="center"/>
      </w:pPr>
      <w:r>
        <w:rPr>
          <w:i/>
          <w:iCs/>
          <w:color w:val="555555"/>
          <w:sz w:val="24"/>
          <w:szCs w:val="24"/>
        </w:rPr>
        <w:t>Authority Thresholds, Controls &amp; Procedures</w:t>
      </w:r>
    </w:p>
    <w:p w14:paraId="0D7CA16D" w14:textId="77777777" w:rsidR="00D278E7" w:rsidRDefault="00000000" w:rsidP="00575212">
      <w:pPr>
        <w:spacing w:before="40" w:after="200" w:line="360" w:lineRule="auto"/>
        <w:jc w:val="center"/>
      </w:pPr>
      <w:r>
        <w:rPr>
          <w:color w:val="888888"/>
        </w:rPr>
        <w:t>Effective Date: ____________  |  Resolution No.: ____________</w:t>
      </w:r>
    </w:p>
    <w:p w14:paraId="01497AEA" w14:textId="77777777" w:rsidR="00D278E7" w:rsidRDefault="00D278E7" w:rsidP="00575212">
      <w:pPr>
        <w:pBdr>
          <w:bottom w:val="single" w:sz="6" w:space="1" w:color="2E5FA3"/>
        </w:pBdr>
        <w:spacing w:before="120" w:after="60" w:line="360" w:lineRule="auto"/>
      </w:pPr>
    </w:p>
    <w:p w14:paraId="7AFD0BD7" w14:textId="77777777" w:rsidR="00D278E7" w:rsidRDefault="00000000" w:rsidP="00575212">
      <w:pPr>
        <w:pStyle w:val="Heading1"/>
        <w:spacing w:before="120" w:after="80" w:line="360" w:lineRule="auto"/>
      </w:pPr>
      <w:r>
        <w:rPr>
          <w:b w:val="0"/>
          <w:bCs w:val="0"/>
          <w:color w:val="000000"/>
          <w:sz w:val="20"/>
          <w:szCs w:val="20"/>
        </w:rPr>
        <w:t>1.  PURPOSE AND SCOPE</w:t>
      </w:r>
    </w:p>
    <w:p w14:paraId="58BC3715" w14:textId="7D2CC19F" w:rsidR="00D278E7" w:rsidRDefault="00000000" w:rsidP="00575212">
      <w:pPr>
        <w:spacing w:before="80" w:after="80" w:line="360" w:lineRule="auto"/>
      </w:pPr>
      <w:r>
        <w:rPr>
          <w:color w:val="000000"/>
        </w:rPr>
        <w:t xml:space="preserve">This Procurement Policy establishes tiered purchasing authority, required controls, and documentation standards for the Town of Mendon. It is designed to give </w:t>
      </w:r>
      <w:r w:rsidR="006D563A">
        <w:rPr>
          <w:color w:val="000000"/>
        </w:rPr>
        <w:t>Mendon employees</w:t>
      </w:r>
      <w:r>
        <w:rPr>
          <w:color w:val="000000"/>
        </w:rPr>
        <w:t xml:space="preserve"> the flexibility needed to maintain efficient daily operations while ensuring sound fiscal stewardship, proper budget controls, and compliance with New York State General Municipal Law (GML) §103 competitive bidding requirements.</w:t>
      </w:r>
    </w:p>
    <w:p w14:paraId="479A0F4C" w14:textId="6F137B74" w:rsidR="00D278E7" w:rsidRDefault="00000000" w:rsidP="00575212">
      <w:pPr>
        <w:spacing w:before="120" w:after="120" w:line="360" w:lineRule="auto"/>
      </w:pPr>
      <w:r>
        <w:rPr>
          <w:color w:val="000000"/>
        </w:rPr>
        <w:t xml:space="preserve">This policy applies to all </w:t>
      </w:r>
      <w:r w:rsidR="006D563A">
        <w:rPr>
          <w:color w:val="000000"/>
        </w:rPr>
        <w:t xml:space="preserve">Mendon </w:t>
      </w:r>
      <w:r>
        <w:rPr>
          <w:color w:val="000000"/>
        </w:rPr>
        <w:t xml:space="preserve">employees. It covers all procurements of goods, services, repairs, and equipment charged to </w:t>
      </w:r>
      <w:r w:rsidR="006D563A">
        <w:rPr>
          <w:color w:val="000000"/>
        </w:rPr>
        <w:t>Town of Mendon</w:t>
      </w:r>
      <w:r>
        <w:rPr>
          <w:color w:val="000000"/>
        </w:rPr>
        <w:t xml:space="preserve"> budget lines (</w:t>
      </w:r>
      <w:r w:rsidR="006D563A">
        <w:rPr>
          <w:color w:val="000000"/>
        </w:rPr>
        <w:t xml:space="preserve">A, B, H, </w:t>
      </w:r>
      <w:r>
        <w:rPr>
          <w:color w:val="000000"/>
        </w:rPr>
        <w:t>DA and DB accounts).</w:t>
      </w:r>
      <w:r w:rsidR="006D563A">
        <w:rPr>
          <w:color w:val="000000"/>
        </w:rPr>
        <w:t xml:space="preserve"> </w:t>
      </w:r>
    </w:p>
    <w:p w14:paraId="7C49BB4F" w14:textId="77777777" w:rsidR="00D278E7" w:rsidRDefault="00D278E7" w:rsidP="00575212">
      <w:pPr>
        <w:pBdr>
          <w:bottom w:val="single" w:sz="6" w:space="1" w:color="2E5FA3"/>
        </w:pBdr>
        <w:spacing w:before="120" w:after="60" w:line="360" w:lineRule="auto"/>
      </w:pPr>
    </w:p>
    <w:p w14:paraId="33A3CAB3" w14:textId="594AA3B8" w:rsidR="00D278E7" w:rsidRPr="006D563A" w:rsidRDefault="00000000" w:rsidP="00575212">
      <w:pPr>
        <w:pStyle w:val="Heading1"/>
        <w:spacing w:before="120" w:after="80" w:line="360" w:lineRule="auto"/>
        <w:rPr>
          <w:color w:val="FF0000"/>
        </w:rPr>
      </w:pPr>
      <w:r>
        <w:rPr>
          <w:b w:val="0"/>
          <w:bCs w:val="0"/>
          <w:color w:val="000000"/>
          <w:sz w:val="20"/>
          <w:szCs w:val="20"/>
        </w:rPr>
        <w:t>2.  DATA FOUNDATION</w:t>
      </w:r>
      <w:r w:rsidR="006D563A">
        <w:rPr>
          <w:b w:val="0"/>
          <w:bCs w:val="0"/>
          <w:color w:val="000000"/>
          <w:sz w:val="20"/>
          <w:szCs w:val="20"/>
        </w:rPr>
        <w:t xml:space="preserve"> </w:t>
      </w:r>
      <w:r w:rsidR="006D563A">
        <w:rPr>
          <w:b w:val="0"/>
          <w:bCs w:val="0"/>
          <w:color w:val="FF0000"/>
          <w:sz w:val="20"/>
          <w:szCs w:val="20"/>
        </w:rPr>
        <w:t>(for discussion, not to be included in published policy)</w:t>
      </w:r>
    </w:p>
    <w:p w14:paraId="2DA3F864" w14:textId="77777777" w:rsidR="00D278E7" w:rsidRDefault="00000000" w:rsidP="00575212">
      <w:pPr>
        <w:spacing w:before="80" w:after="100" w:line="360" w:lineRule="auto"/>
      </w:pPr>
      <w:r>
        <w:rPr>
          <w:color w:val="000000"/>
        </w:rPr>
        <w:t>The thresholds in this policy are grounded in a quantitative review of 179 voucher transactions across seven abstract periods from November 2025 through April 2026, totaling $970,160 in departmental spending. The table below summarizes the transaction distribution that informed each tier: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1560"/>
        <w:gridCol w:w="1560"/>
        <w:gridCol w:w="1560"/>
        <w:gridCol w:w="2340"/>
      </w:tblGrid>
      <w:tr w:rsidR="00D278E7" w14:paraId="51F1AD96" w14:textId="77777777">
        <w:tblPrEx>
          <w:tblCellMar>
            <w:top w:w="0" w:type="dxa"/>
            <w:bottom w:w="0" w:type="dxa"/>
          </w:tblCellMar>
        </w:tblPrEx>
        <w:trPr>
          <w:tblHeader/>
        </w:trPr>
        <w:tc>
          <w:tcPr>
            <w:tcW w:w="2340" w:type="dxa"/>
            <w:tcBorders>
              <w:top w:val="single" w:sz="4" w:space="0" w:color="2E5FA3"/>
              <w:left w:val="single" w:sz="4" w:space="0" w:color="2E5FA3"/>
              <w:bottom w:val="single" w:sz="4" w:space="0" w:color="2E5FA3"/>
              <w:right w:val="single" w:sz="4" w:space="0" w:color="2E5FA3"/>
            </w:tcBorders>
            <w:shd w:val="clear" w:color="auto" w:fill="1F3864"/>
            <w:tcMar>
              <w:top w:w="100" w:type="dxa"/>
              <w:left w:w="120" w:type="dxa"/>
              <w:bottom w:w="100" w:type="dxa"/>
              <w:right w:w="120" w:type="dxa"/>
            </w:tcMar>
          </w:tcPr>
          <w:p w14:paraId="067CD31F" w14:textId="77777777" w:rsidR="00D278E7" w:rsidRDefault="00000000" w:rsidP="00575212">
            <w:pPr>
              <w:spacing w:line="360" w:lineRule="auto"/>
              <w:jc w:val="center"/>
            </w:pPr>
            <w:r>
              <w:rPr>
                <w:b/>
                <w:bCs/>
                <w:color w:val="FFFFFF"/>
              </w:rPr>
              <w:t>Transaction Range</w:t>
            </w:r>
          </w:p>
        </w:tc>
        <w:tc>
          <w:tcPr>
            <w:tcW w:w="1560" w:type="dxa"/>
            <w:tcBorders>
              <w:top w:val="single" w:sz="4" w:space="0" w:color="2E5FA3"/>
              <w:left w:val="single" w:sz="4" w:space="0" w:color="2E5FA3"/>
              <w:bottom w:val="single" w:sz="4" w:space="0" w:color="2E5FA3"/>
              <w:right w:val="single" w:sz="4" w:space="0" w:color="2E5FA3"/>
            </w:tcBorders>
            <w:shd w:val="clear" w:color="auto" w:fill="1F3864"/>
            <w:tcMar>
              <w:top w:w="100" w:type="dxa"/>
              <w:left w:w="120" w:type="dxa"/>
              <w:bottom w:w="100" w:type="dxa"/>
              <w:right w:w="120" w:type="dxa"/>
            </w:tcMar>
          </w:tcPr>
          <w:p w14:paraId="7DBC07FA" w14:textId="77777777" w:rsidR="00D278E7" w:rsidRDefault="00000000" w:rsidP="00575212">
            <w:pPr>
              <w:spacing w:line="360" w:lineRule="auto"/>
              <w:jc w:val="center"/>
            </w:pPr>
            <w:r>
              <w:rPr>
                <w:b/>
                <w:bCs/>
                <w:color w:val="FFFFFF"/>
              </w:rPr>
              <w:t># of Transactions</w:t>
            </w:r>
          </w:p>
        </w:tc>
        <w:tc>
          <w:tcPr>
            <w:tcW w:w="1560" w:type="dxa"/>
            <w:tcBorders>
              <w:top w:val="single" w:sz="4" w:space="0" w:color="2E5FA3"/>
              <w:left w:val="single" w:sz="4" w:space="0" w:color="2E5FA3"/>
              <w:bottom w:val="single" w:sz="4" w:space="0" w:color="2E5FA3"/>
              <w:right w:val="single" w:sz="4" w:space="0" w:color="2E5FA3"/>
            </w:tcBorders>
            <w:shd w:val="clear" w:color="auto" w:fill="1F3864"/>
            <w:tcMar>
              <w:top w:w="100" w:type="dxa"/>
              <w:left w:w="120" w:type="dxa"/>
              <w:bottom w:w="100" w:type="dxa"/>
              <w:right w:w="120" w:type="dxa"/>
            </w:tcMar>
          </w:tcPr>
          <w:p w14:paraId="318AF91B" w14:textId="77777777" w:rsidR="00D278E7" w:rsidRDefault="00000000" w:rsidP="00575212">
            <w:pPr>
              <w:spacing w:line="360" w:lineRule="auto"/>
              <w:jc w:val="center"/>
            </w:pPr>
            <w:r>
              <w:rPr>
                <w:b/>
                <w:bCs/>
                <w:color w:val="FFFFFF"/>
              </w:rPr>
              <w:t>% of Count</w:t>
            </w:r>
          </w:p>
        </w:tc>
        <w:tc>
          <w:tcPr>
            <w:tcW w:w="1560" w:type="dxa"/>
            <w:tcBorders>
              <w:top w:val="single" w:sz="4" w:space="0" w:color="2E5FA3"/>
              <w:left w:val="single" w:sz="4" w:space="0" w:color="2E5FA3"/>
              <w:bottom w:val="single" w:sz="4" w:space="0" w:color="2E5FA3"/>
              <w:right w:val="single" w:sz="4" w:space="0" w:color="2E5FA3"/>
            </w:tcBorders>
            <w:shd w:val="clear" w:color="auto" w:fill="1F3864"/>
            <w:tcMar>
              <w:top w:w="100" w:type="dxa"/>
              <w:left w:w="120" w:type="dxa"/>
              <w:bottom w:w="100" w:type="dxa"/>
              <w:right w:w="120" w:type="dxa"/>
            </w:tcMar>
          </w:tcPr>
          <w:p w14:paraId="3B83613E" w14:textId="77777777" w:rsidR="00D278E7" w:rsidRDefault="00000000" w:rsidP="00575212">
            <w:pPr>
              <w:spacing w:line="360" w:lineRule="auto"/>
              <w:jc w:val="center"/>
            </w:pPr>
            <w:r>
              <w:rPr>
                <w:b/>
                <w:bCs/>
                <w:color w:val="FFFFFF"/>
              </w:rPr>
              <w:t>% of Operational Spend</w:t>
            </w:r>
          </w:p>
        </w:tc>
        <w:tc>
          <w:tcPr>
            <w:tcW w:w="2340" w:type="dxa"/>
            <w:tcBorders>
              <w:top w:val="single" w:sz="4" w:space="0" w:color="2E5FA3"/>
              <w:left w:val="single" w:sz="4" w:space="0" w:color="2E5FA3"/>
              <w:bottom w:val="single" w:sz="4" w:space="0" w:color="2E5FA3"/>
              <w:right w:val="single" w:sz="4" w:space="0" w:color="2E5FA3"/>
            </w:tcBorders>
            <w:shd w:val="clear" w:color="auto" w:fill="1F3864"/>
            <w:tcMar>
              <w:top w:w="100" w:type="dxa"/>
              <w:left w:w="120" w:type="dxa"/>
              <w:bottom w:w="100" w:type="dxa"/>
              <w:right w:w="120" w:type="dxa"/>
            </w:tcMar>
          </w:tcPr>
          <w:p w14:paraId="3A365899" w14:textId="77777777" w:rsidR="00D278E7" w:rsidRDefault="00000000" w:rsidP="00575212">
            <w:pPr>
              <w:spacing w:line="360" w:lineRule="auto"/>
              <w:jc w:val="center"/>
            </w:pPr>
            <w:r>
              <w:rPr>
                <w:b/>
                <w:bCs/>
                <w:color w:val="FFFFFF"/>
              </w:rPr>
              <w:t>Policy Tier</w:t>
            </w:r>
          </w:p>
        </w:tc>
      </w:tr>
      <w:tr w:rsidR="00D278E7" w14:paraId="052BD3DC" w14:textId="77777777">
        <w:tblPrEx>
          <w:tblCellMar>
            <w:top w:w="0" w:type="dxa"/>
            <w:bottom w:w="0" w:type="dxa"/>
          </w:tblCellMar>
        </w:tblPrEx>
        <w:tc>
          <w:tcPr>
            <w:tcW w:w="2340" w:type="dxa"/>
            <w:tcBorders>
              <w:top w:val="single" w:sz="4" w:space="0" w:color="CCCCCC"/>
              <w:left w:val="single" w:sz="4" w:space="0" w:color="CCCCCC"/>
              <w:bottom w:val="single" w:sz="4" w:space="0" w:color="CCCCCC"/>
              <w:right w:val="single" w:sz="4" w:space="0" w:color="CCCCCC"/>
            </w:tcBorders>
            <w:shd w:val="clear" w:color="auto" w:fill="D6E4F7"/>
            <w:tcMar>
              <w:top w:w="100" w:type="dxa"/>
              <w:left w:w="120" w:type="dxa"/>
              <w:bottom w:w="100" w:type="dxa"/>
              <w:right w:w="120" w:type="dxa"/>
            </w:tcMar>
            <w:vAlign w:val="center"/>
          </w:tcPr>
          <w:p w14:paraId="664471A4" w14:textId="6B504630" w:rsidR="00D278E7" w:rsidRDefault="00000000" w:rsidP="00575212">
            <w:pPr>
              <w:spacing w:line="360" w:lineRule="auto"/>
            </w:pPr>
            <w:r>
              <w:rPr>
                <w:color w:val="000000"/>
              </w:rPr>
              <w:t>$</w:t>
            </w:r>
            <w:r w:rsidR="006D563A">
              <w:rPr>
                <w:color w:val="000000"/>
              </w:rPr>
              <w:t>0</w:t>
            </w:r>
            <w:r>
              <w:rPr>
                <w:color w:val="000000"/>
              </w:rPr>
              <w:t>- $500</w:t>
            </w:r>
          </w:p>
        </w:tc>
        <w:tc>
          <w:tcPr>
            <w:tcW w:w="1560" w:type="dxa"/>
            <w:tcBorders>
              <w:top w:val="single" w:sz="4" w:space="0" w:color="CCCCCC"/>
              <w:left w:val="single" w:sz="4" w:space="0" w:color="CCCCCC"/>
              <w:bottom w:val="single" w:sz="4" w:space="0" w:color="CCCCCC"/>
              <w:right w:val="single" w:sz="4" w:space="0" w:color="CCCCCC"/>
            </w:tcBorders>
            <w:shd w:val="clear" w:color="auto" w:fill="D6E4F7"/>
            <w:tcMar>
              <w:top w:w="100" w:type="dxa"/>
              <w:left w:w="120" w:type="dxa"/>
              <w:bottom w:w="100" w:type="dxa"/>
              <w:right w:w="120" w:type="dxa"/>
            </w:tcMar>
            <w:vAlign w:val="center"/>
          </w:tcPr>
          <w:p w14:paraId="6AC88355" w14:textId="22978FAD" w:rsidR="00D278E7" w:rsidRDefault="006D563A" w:rsidP="00575212">
            <w:pPr>
              <w:spacing w:line="360" w:lineRule="auto"/>
              <w:jc w:val="center"/>
            </w:pPr>
            <w:r>
              <w:rPr>
                <w:color w:val="000000"/>
              </w:rPr>
              <w:t>97</w:t>
            </w:r>
          </w:p>
        </w:tc>
        <w:tc>
          <w:tcPr>
            <w:tcW w:w="1560" w:type="dxa"/>
            <w:tcBorders>
              <w:top w:val="single" w:sz="4" w:space="0" w:color="CCCCCC"/>
              <w:left w:val="single" w:sz="4" w:space="0" w:color="CCCCCC"/>
              <w:bottom w:val="single" w:sz="4" w:space="0" w:color="CCCCCC"/>
              <w:right w:val="single" w:sz="4" w:space="0" w:color="CCCCCC"/>
            </w:tcBorders>
            <w:shd w:val="clear" w:color="auto" w:fill="D6E4F7"/>
            <w:tcMar>
              <w:top w:w="100" w:type="dxa"/>
              <w:left w:w="120" w:type="dxa"/>
              <w:bottom w:w="100" w:type="dxa"/>
              <w:right w:w="120" w:type="dxa"/>
            </w:tcMar>
            <w:vAlign w:val="center"/>
          </w:tcPr>
          <w:p w14:paraId="29633D28" w14:textId="66813F07" w:rsidR="00D278E7" w:rsidRDefault="006D563A" w:rsidP="00575212">
            <w:pPr>
              <w:spacing w:line="360" w:lineRule="auto"/>
              <w:jc w:val="center"/>
            </w:pPr>
            <w:r>
              <w:rPr>
                <w:color w:val="000000"/>
              </w:rPr>
              <w:t>55</w:t>
            </w:r>
            <w:r w:rsidR="00000000">
              <w:rPr>
                <w:color w:val="000000"/>
              </w:rPr>
              <w:t>.</w:t>
            </w:r>
            <w:r>
              <w:rPr>
                <w:color w:val="000000"/>
              </w:rPr>
              <w:t>8</w:t>
            </w:r>
            <w:r w:rsidR="00000000">
              <w:rPr>
                <w:color w:val="000000"/>
              </w:rPr>
              <w:t>%</w:t>
            </w:r>
          </w:p>
        </w:tc>
        <w:tc>
          <w:tcPr>
            <w:tcW w:w="1560" w:type="dxa"/>
            <w:tcBorders>
              <w:top w:val="single" w:sz="4" w:space="0" w:color="CCCCCC"/>
              <w:left w:val="single" w:sz="4" w:space="0" w:color="CCCCCC"/>
              <w:bottom w:val="single" w:sz="4" w:space="0" w:color="CCCCCC"/>
              <w:right w:val="single" w:sz="4" w:space="0" w:color="CCCCCC"/>
            </w:tcBorders>
            <w:shd w:val="clear" w:color="auto" w:fill="D6E4F7"/>
            <w:tcMar>
              <w:top w:w="100" w:type="dxa"/>
              <w:left w:w="120" w:type="dxa"/>
              <w:bottom w:w="100" w:type="dxa"/>
              <w:right w:w="120" w:type="dxa"/>
            </w:tcMar>
            <w:vAlign w:val="center"/>
          </w:tcPr>
          <w:p w14:paraId="5F2DE2F3" w14:textId="1E977C88" w:rsidR="00D278E7" w:rsidRDefault="006D563A" w:rsidP="00575212">
            <w:pPr>
              <w:spacing w:line="360" w:lineRule="auto"/>
              <w:jc w:val="center"/>
            </w:pPr>
            <w:r>
              <w:rPr>
                <w:color w:val="000000"/>
              </w:rPr>
              <w:t>6.3</w:t>
            </w:r>
            <w:r w:rsidR="00000000">
              <w:rPr>
                <w:color w:val="000000"/>
              </w:rPr>
              <w:t>%</w:t>
            </w:r>
          </w:p>
        </w:tc>
        <w:tc>
          <w:tcPr>
            <w:tcW w:w="2340" w:type="dxa"/>
            <w:tcBorders>
              <w:top w:val="single" w:sz="4" w:space="0" w:color="CCCCCC"/>
              <w:left w:val="single" w:sz="4" w:space="0" w:color="CCCCCC"/>
              <w:bottom w:val="single" w:sz="4" w:space="0" w:color="CCCCCC"/>
              <w:right w:val="single" w:sz="4" w:space="0" w:color="CCCCCC"/>
            </w:tcBorders>
            <w:shd w:val="clear" w:color="auto" w:fill="D6E4F7"/>
            <w:tcMar>
              <w:top w:w="100" w:type="dxa"/>
              <w:left w:w="120" w:type="dxa"/>
              <w:bottom w:w="100" w:type="dxa"/>
              <w:right w:w="120" w:type="dxa"/>
            </w:tcMar>
            <w:vAlign w:val="center"/>
          </w:tcPr>
          <w:p w14:paraId="7E685FB0" w14:textId="77777777" w:rsidR="00D278E7" w:rsidRDefault="00000000" w:rsidP="00575212">
            <w:pPr>
              <w:spacing w:line="360" w:lineRule="auto"/>
            </w:pPr>
            <w:r>
              <w:rPr>
                <w:color w:val="000000"/>
              </w:rPr>
              <w:t>Tier 1 / Tier 2A</w:t>
            </w:r>
          </w:p>
        </w:tc>
      </w:tr>
      <w:tr w:rsidR="00D278E7" w14:paraId="41D8FA4E" w14:textId="77777777">
        <w:tblPrEx>
          <w:tblCellMar>
            <w:top w:w="0" w:type="dxa"/>
            <w:bottom w:w="0" w:type="dxa"/>
          </w:tblCellMar>
        </w:tblPrEx>
        <w:tc>
          <w:tcPr>
            <w:tcW w:w="234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20" w:type="dxa"/>
              <w:bottom w:w="100" w:type="dxa"/>
              <w:right w:w="120" w:type="dxa"/>
            </w:tcMar>
            <w:vAlign w:val="center"/>
          </w:tcPr>
          <w:p w14:paraId="7D6B4834" w14:textId="77777777" w:rsidR="00D278E7" w:rsidRDefault="00000000" w:rsidP="00575212">
            <w:pPr>
              <w:spacing w:line="360" w:lineRule="auto"/>
            </w:pPr>
            <w:r>
              <w:rPr>
                <w:color w:val="000000"/>
              </w:rPr>
              <w:t>$500 - $2,500</w:t>
            </w:r>
          </w:p>
        </w:tc>
        <w:tc>
          <w:tcPr>
            <w:tcW w:w="156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20" w:type="dxa"/>
              <w:bottom w:w="100" w:type="dxa"/>
              <w:right w:w="120" w:type="dxa"/>
            </w:tcMar>
            <w:vAlign w:val="center"/>
          </w:tcPr>
          <w:p w14:paraId="17BDF651" w14:textId="77777777" w:rsidR="00D278E7" w:rsidRDefault="00000000" w:rsidP="00575212">
            <w:pPr>
              <w:spacing w:line="360" w:lineRule="auto"/>
              <w:jc w:val="center"/>
            </w:pPr>
            <w:r>
              <w:rPr>
                <w:color w:val="000000"/>
              </w:rPr>
              <w:t>59</w:t>
            </w:r>
          </w:p>
        </w:tc>
        <w:tc>
          <w:tcPr>
            <w:tcW w:w="156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20" w:type="dxa"/>
              <w:bottom w:w="100" w:type="dxa"/>
              <w:right w:w="120" w:type="dxa"/>
            </w:tcMar>
            <w:vAlign w:val="center"/>
          </w:tcPr>
          <w:p w14:paraId="6D9F4BFA" w14:textId="77777777" w:rsidR="00D278E7" w:rsidRDefault="00000000" w:rsidP="00575212">
            <w:pPr>
              <w:spacing w:line="360" w:lineRule="auto"/>
              <w:jc w:val="center"/>
            </w:pPr>
            <w:r>
              <w:rPr>
                <w:color w:val="000000"/>
              </w:rPr>
              <w:t>33.9%</w:t>
            </w:r>
          </w:p>
        </w:tc>
        <w:tc>
          <w:tcPr>
            <w:tcW w:w="156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20" w:type="dxa"/>
              <w:bottom w:w="100" w:type="dxa"/>
              <w:right w:w="120" w:type="dxa"/>
            </w:tcMar>
            <w:vAlign w:val="center"/>
          </w:tcPr>
          <w:p w14:paraId="1332ABC3" w14:textId="77777777" w:rsidR="00D278E7" w:rsidRDefault="00000000" w:rsidP="00575212">
            <w:pPr>
              <w:spacing w:line="360" w:lineRule="auto"/>
              <w:jc w:val="center"/>
            </w:pPr>
            <w:r>
              <w:rPr>
                <w:color w:val="000000"/>
              </w:rPr>
              <w:t>24.5%</w:t>
            </w:r>
          </w:p>
        </w:tc>
        <w:tc>
          <w:tcPr>
            <w:tcW w:w="234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20" w:type="dxa"/>
              <w:bottom w:w="100" w:type="dxa"/>
              <w:right w:w="120" w:type="dxa"/>
            </w:tcMar>
            <w:vAlign w:val="center"/>
          </w:tcPr>
          <w:p w14:paraId="19F407B9" w14:textId="151DFA53" w:rsidR="00D278E7" w:rsidRDefault="00000000" w:rsidP="00575212">
            <w:pPr>
              <w:spacing w:line="360" w:lineRule="auto"/>
            </w:pPr>
            <w:r>
              <w:rPr>
                <w:color w:val="000000"/>
              </w:rPr>
              <w:t>Tier 2A</w:t>
            </w:r>
          </w:p>
        </w:tc>
      </w:tr>
      <w:tr w:rsidR="00D278E7" w14:paraId="5C7805E8" w14:textId="77777777">
        <w:tblPrEx>
          <w:tblCellMar>
            <w:top w:w="0" w:type="dxa"/>
            <w:bottom w:w="0" w:type="dxa"/>
          </w:tblCellMar>
        </w:tblPrEx>
        <w:tc>
          <w:tcPr>
            <w:tcW w:w="2340" w:type="dxa"/>
            <w:tcBorders>
              <w:top w:val="single" w:sz="4" w:space="0" w:color="CCCCCC"/>
              <w:left w:val="single" w:sz="4" w:space="0" w:color="CCCCCC"/>
              <w:bottom w:val="single" w:sz="4" w:space="0" w:color="CCCCCC"/>
              <w:right w:val="single" w:sz="4" w:space="0" w:color="CCCCCC"/>
            </w:tcBorders>
            <w:shd w:val="clear" w:color="auto" w:fill="D6E4F7"/>
            <w:tcMar>
              <w:top w:w="100" w:type="dxa"/>
              <w:left w:w="120" w:type="dxa"/>
              <w:bottom w:w="100" w:type="dxa"/>
              <w:right w:w="120" w:type="dxa"/>
            </w:tcMar>
            <w:vAlign w:val="center"/>
          </w:tcPr>
          <w:p w14:paraId="3C0761B8" w14:textId="4E4279D0" w:rsidR="00D278E7" w:rsidRDefault="00000000" w:rsidP="00575212">
            <w:pPr>
              <w:spacing w:line="360" w:lineRule="auto"/>
            </w:pPr>
            <w:r>
              <w:rPr>
                <w:color w:val="000000"/>
              </w:rPr>
              <w:t>$2,500 - $</w:t>
            </w:r>
            <w:r w:rsidR="006D563A">
              <w:rPr>
                <w:color w:val="000000"/>
              </w:rPr>
              <w:t>1</w:t>
            </w:r>
            <w:r>
              <w:rPr>
                <w:color w:val="000000"/>
              </w:rPr>
              <w:t>0,000</w:t>
            </w:r>
          </w:p>
        </w:tc>
        <w:tc>
          <w:tcPr>
            <w:tcW w:w="1560" w:type="dxa"/>
            <w:tcBorders>
              <w:top w:val="single" w:sz="4" w:space="0" w:color="CCCCCC"/>
              <w:left w:val="single" w:sz="4" w:space="0" w:color="CCCCCC"/>
              <w:bottom w:val="single" w:sz="4" w:space="0" w:color="CCCCCC"/>
              <w:right w:val="single" w:sz="4" w:space="0" w:color="CCCCCC"/>
            </w:tcBorders>
            <w:shd w:val="clear" w:color="auto" w:fill="D6E4F7"/>
            <w:tcMar>
              <w:top w:w="100" w:type="dxa"/>
              <w:left w:w="120" w:type="dxa"/>
              <w:bottom w:w="100" w:type="dxa"/>
              <w:right w:w="120" w:type="dxa"/>
            </w:tcMar>
            <w:vAlign w:val="center"/>
          </w:tcPr>
          <w:p w14:paraId="023CB274" w14:textId="77777777" w:rsidR="00D278E7" w:rsidRDefault="00000000" w:rsidP="00575212">
            <w:pPr>
              <w:spacing w:line="360" w:lineRule="auto"/>
              <w:jc w:val="center"/>
            </w:pPr>
            <w:r>
              <w:rPr>
                <w:color w:val="000000"/>
              </w:rPr>
              <w:t>13</w:t>
            </w:r>
          </w:p>
        </w:tc>
        <w:tc>
          <w:tcPr>
            <w:tcW w:w="1560" w:type="dxa"/>
            <w:tcBorders>
              <w:top w:val="single" w:sz="4" w:space="0" w:color="CCCCCC"/>
              <w:left w:val="single" w:sz="4" w:space="0" w:color="CCCCCC"/>
              <w:bottom w:val="single" w:sz="4" w:space="0" w:color="CCCCCC"/>
              <w:right w:val="single" w:sz="4" w:space="0" w:color="CCCCCC"/>
            </w:tcBorders>
            <w:shd w:val="clear" w:color="auto" w:fill="D6E4F7"/>
            <w:tcMar>
              <w:top w:w="100" w:type="dxa"/>
              <w:left w:w="120" w:type="dxa"/>
              <w:bottom w:w="100" w:type="dxa"/>
              <w:right w:w="120" w:type="dxa"/>
            </w:tcMar>
            <w:vAlign w:val="center"/>
          </w:tcPr>
          <w:p w14:paraId="6D96C11D" w14:textId="77777777" w:rsidR="00D278E7" w:rsidRDefault="00000000" w:rsidP="00575212">
            <w:pPr>
              <w:spacing w:line="360" w:lineRule="auto"/>
              <w:jc w:val="center"/>
            </w:pPr>
            <w:r>
              <w:rPr>
                <w:color w:val="000000"/>
              </w:rPr>
              <w:t>7.5%</w:t>
            </w:r>
          </w:p>
        </w:tc>
        <w:tc>
          <w:tcPr>
            <w:tcW w:w="1560" w:type="dxa"/>
            <w:tcBorders>
              <w:top w:val="single" w:sz="4" w:space="0" w:color="CCCCCC"/>
              <w:left w:val="single" w:sz="4" w:space="0" w:color="CCCCCC"/>
              <w:bottom w:val="single" w:sz="4" w:space="0" w:color="CCCCCC"/>
              <w:right w:val="single" w:sz="4" w:space="0" w:color="CCCCCC"/>
            </w:tcBorders>
            <w:shd w:val="clear" w:color="auto" w:fill="D6E4F7"/>
            <w:tcMar>
              <w:top w:w="100" w:type="dxa"/>
              <w:left w:w="120" w:type="dxa"/>
              <w:bottom w:w="100" w:type="dxa"/>
              <w:right w:w="120" w:type="dxa"/>
            </w:tcMar>
            <w:vAlign w:val="center"/>
          </w:tcPr>
          <w:p w14:paraId="4B7B5F7C" w14:textId="77777777" w:rsidR="00D278E7" w:rsidRDefault="00000000" w:rsidP="00575212">
            <w:pPr>
              <w:spacing w:line="360" w:lineRule="auto"/>
              <w:jc w:val="center"/>
            </w:pPr>
            <w:r>
              <w:rPr>
                <w:color w:val="000000"/>
              </w:rPr>
              <w:t>28.7%</w:t>
            </w:r>
          </w:p>
        </w:tc>
        <w:tc>
          <w:tcPr>
            <w:tcW w:w="2340" w:type="dxa"/>
            <w:tcBorders>
              <w:top w:val="single" w:sz="4" w:space="0" w:color="CCCCCC"/>
              <w:left w:val="single" w:sz="4" w:space="0" w:color="CCCCCC"/>
              <w:bottom w:val="single" w:sz="4" w:space="0" w:color="CCCCCC"/>
              <w:right w:val="single" w:sz="4" w:space="0" w:color="CCCCCC"/>
            </w:tcBorders>
            <w:shd w:val="clear" w:color="auto" w:fill="D6E4F7"/>
            <w:tcMar>
              <w:top w:w="100" w:type="dxa"/>
              <w:left w:w="120" w:type="dxa"/>
              <w:bottom w:w="100" w:type="dxa"/>
              <w:right w:w="120" w:type="dxa"/>
            </w:tcMar>
            <w:vAlign w:val="center"/>
          </w:tcPr>
          <w:p w14:paraId="570B02D2" w14:textId="77777777" w:rsidR="00D278E7" w:rsidRDefault="00000000" w:rsidP="00575212">
            <w:pPr>
              <w:spacing w:line="360" w:lineRule="auto"/>
            </w:pPr>
            <w:r>
              <w:rPr>
                <w:color w:val="000000"/>
              </w:rPr>
              <w:t>Tier 2B (Dept. Head + Quotes)</w:t>
            </w:r>
          </w:p>
        </w:tc>
      </w:tr>
      <w:tr w:rsidR="00D278E7" w14:paraId="72443318" w14:textId="77777777">
        <w:tblPrEx>
          <w:tblCellMar>
            <w:top w:w="0" w:type="dxa"/>
            <w:bottom w:w="0" w:type="dxa"/>
          </w:tblCellMar>
        </w:tblPrEx>
        <w:tc>
          <w:tcPr>
            <w:tcW w:w="234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20" w:type="dxa"/>
              <w:bottom w:w="100" w:type="dxa"/>
              <w:right w:w="120" w:type="dxa"/>
            </w:tcMar>
            <w:vAlign w:val="center"/>
          </w:tcPr>
          <w:p w14:paraId="03878A66" w14:textId="02FD6619" w:rsidR="00D278E7" w:rsidRDefault="00000000" w:rsidP="00575212">
            <w:pPr>
              <w:spacing w:line="360" w:lineRule="auto"/>
            </w:pPr>
            <w:r>
              <w:rPr>
                <w:color w:val="000000"/>
              </w:rPr>
              <w:t>Over $</w:t>
            </w:r>
            <w:r w:rsidR="006D563A">
              <w:rPr>
                <w:color w:val="000000"/>
              </w:rPr>
              <w:t>1</w:t>
            </w:r>
            <w:r>
              <w:rPr>
                <w:color w:val="000000"/>
              </w:rPr>
              <w:t>0,000 (operational)</w:t>
            </w:r>
          </w:p>
        </w:tc>
        <w:tc>
          <w:tcPr>
            <w:tcW w:w="156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20" w:type="dxa"/>
              <w:bottom w:w="100" w:type="dxa"/>
              <w:right w:w="120" w:type="dxa"/>
            </w:tcMar>
            <w:vAlign w:val="center"/>
          </w:tcPr>
          <w:p w14:paraId="01D51ADD" w14:textId="77777777" w:rsidR="00D278E7" w:rsidRDefault="00000000" w:rsidP="00575212">
            <w:pPr>
              <w:spacing w:line="360" w:lineRule="auto"/>
              <w:jc w:val="center"/>
            </w:pPr>
            <w:r>
              <w:rPr>
                <w:color w:val="000000"/>
              </w:rPr>
              <w:t>5</w:t>
            </w:r>
          </w:p>
        </w:tc>
        <w:tc>
          <w:tcPr>
            <w:tcW w:w="156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20" w:type="dxa"/>
              <w:bottom w:w="100" w:type="dxa"/>
              <w:right w:w="120" w:type="dxa"/>
            </w:tcMar>
            <w:vAlign w:val="center"/>
          </w:tcPr>
          <w:p w14:paraId="67743F6A" w14:textId="77777777" w:rsidR="00D278E7" w:rsidRDefault="00000000" w:rsidP="00575212">
            <w:pPr>
              <w:spacing w:line="360" w:lineRule="auto"/>
              <w:jc w:val="center"/>
            </w:pPr>
            <w:r>
              <w:rPr>
                <w:color w:val="000000"/>
              </w:rPr>
              <w:t>2.9%</w:t>
            </w:r>
          </w:p>
        </w:tc>
        <w:tc>
          <w:tcPr>
            <w:tcW w:w="156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20" w:type="dxa"/>
              <w:bottom w:w="100" w:type="dxa"/>
              <w:right w:w="120" w:type="dxa"/>
            </w:tcMar>
            <w:vAlign w:val="center"/>
          </w:tcPr>
          <w:p w14:paraId="71B1A903" w14:textId="77777777" w:rsidR="00D278E7" w:rsidRDefault="00000000" w:rsidP="00575212">
            <w:pPr>
              <w:spacing w:line="360" w:lineRule="auto"/>
              <w:jc w:val="center"/>
            </w:pPr>
            <w:r>
              <w:rPr>
                <w:color w:val="000000"/>
              </w:rPr>
              <w:t>40.9%</w:t>
            </w:r>
          </w:p>
        </w:tc>
        <w:tc>
          <w:tcPr>
            <w:tcW w:w="234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20" w:type="dxa"/>
              <w:bottom w:w="100" w:type="dxa"/>
              <w:right w:w="120" w:type="dxa"/>
            </w:tcMar>
            <w:vAlign w:val="center"/>
          </w:tcPr>
          <w:p w14:paraId="47ADD153" w14:textId="77777777" w:rsidR="00D278E7" w:rsidRDefault="00000000" w:rsidP="00575212">
            <w:pPr>
              <w:spacing w:line="360" w:lineRule="auto"/>
            </w:pPr>
            <w:r>
              <w:rPr>
                <w:color w:val="000000"/>
              </w:rPr>
              <w:t>Tier 3 (Board)</w:t>
            </w:r>
          </w:p>
        </w:tc>
      </w:tr>
      <w:tr w:rsidR="00D278E7" w14:paraId="49E8F9B6" w14:textId="77777777">
        <w:tblPrEx>
          <w:tblCellMar>
            <w:top w:w="0" w:type="dxa"/>
            <w:bottom w:w="0" w:type="dxa"/>
          </w:tblCellMar>
        </w:tblPrEx>
        <w:tc>
          <w:tcPr>
            <w:tcW w:w="2340" w:type="dxa"/>
            <w:tcBorders>
              <w:top w:val="single" w:sz="4" w:space="0" w:color="CCCCCC"/>
              <w:left w:val="single" w:sz="4" w:space="0" w:color="CCCCCC"/>
              <w:bottom w:val="single" w:sz="4" w:space="0" w:color="CCCCCC"/>
              <w:right w:val="single" w:sz="4" w:space="0" w:color="CCCCCC"/>
            </w:tcBorders>
            <w:shd w:val="clear" w:color="auto" w:fill="D6E4F7"/>
            <w:tcMar>
              <w:top w:w="100" w:type="dxa"/>
              <w:left w:w="120" w:type="dxa"/>
              <w:bottom w:w="100" w:type="dxa"/>
              <w:right w:w="120" w:type="dxa"/>
            </w:tcMar>
            <w:vAlign w:val="center"/>
          </w:tcPr>
          <w:p w14:paraId="3D6906AC" w14:textId="77777777" w:rsidR="00D278E7" w:rsidRDefault="00000000" w:rsidP="00575212">
            <w:pPr>
              <w:spacing w:line="360" w:lineRule="auto"/>
            </w:pPr>
            <w:r>
              <w:rPr>
                <w:color w:val="000000"/>
              </w:rPr>
              <w:t>Capital Equipment</w:t>
            </w:r>
          </w:p>
        </w:tc>
        <w:tc>
          <w:tcPr>
            <w:tcW w:w="1560" w:type="dxa"/>
            <w:tcBorders>
              <w:top w:val="single" w:sz="4" w:space="0" w:color="CCCCCC"/>
              <w:left w:val="single" w:sz="4" w:space="0" w:color="CCCCCC"/>
              <w:bottom w:val="single" w:sz="4" w:space="0" w:color="CCCCCC"/>
              <w:right w:val="single" w:sz="4" w:space="0" w:color="CCCCCC"/>
            </w:tcBorders>
            <w:shd w:val="clear" w:color="auto" w:fill="D6E4F7"/>
            <w:tcMar>
              <w:top w:w="100" w:type="dxa"/>
              <w:left w:w="120" w:type="dxa"/>
              <w:bottom w:w="100" w:type="dxa"/>
              <w:right w:w="120" w:type="dxa"/>
            </w:tcMar>
            <w:vAlign w:val="center"/>
          </w:tcPr>
          <w:p w14:paraId="0131BE25" w14:textId="77777777" w:rsidR="00D278E7" w:rsidRDefault="00000000" w:rsidP="00575212">
            <w:pPr>
              <w:spacing w:line="360" w:lineRule="auto"/>
              <w:jc w:val="center"/>
            </w:pPr>
            <w:r>
              <w:rPr>
                <w:color w:val="000000"/>
              </w:rPr>
              <w:t>2</w:t>
            </w:r>
          </w:p>
        </w:tc>
        <w:tc>
          <w:tcPr>
            <w:tcW w:w="1560" w:type="dxa"/>
            <w:tcBorders>
              <w:top w:val="single" w:sz="4" w:space="0" w:color="CCCCCC"/>
              <w:left w:val="single" w:sz="4" w:space="0" w:color="CCCCCC"/>
              <w:bottom w:val="single" w:sz="4" w:space="0" w:color="CCCCCC"/>
              <w:right w:val="single" w:sz="4" w:space="0" w:color="CCCCCC"/>
            </w:tcBorders>
            <w:shd w:val="clear" w:color="auto" w:fill="D6E4F7"/>
            <w:tcMar>
              <w:top w:w="100" w:type="dxa"/>
              <w:left w:w="120" w:type="dxa"/>
              <w:bottom w:w="100" w:type="dxa"/>
              <w:right w:w="120" w:type="dxa"/>
            </w:tcMar>
            <w:vAlign w:val="center"/>
          </w:tcPr>
          <w:p w14:paraId="6C5833C2" w14:textId="77777777" w:rsidR="00D278E7" w:rsidRDefault="00000000" w:rsidP="00575212">
            <w:pPr>
              <w:spacing w:line="360" w:lineRule="auto"/>
              <w:jc w:val="center"/>
            </w:pPr>
            <w:r>
              <w:rPr>
                <w:color w:val="000000"/>
              </w:rPr>
              <w:t>N/A</w:t>
            </w:r>
          </w:p>
        </w:tc>
        <w:tc>
          <w:tcPr>
            <w:tcW w:w="1560" w:type="dxa"/>
            <w:tcBorders>
              <w:top w:val="single" w:sz="4" w:space="0" w:color="CCCCCC"/>
              <w:left w:val="single" w:sz="4" w:space="0" w:color="CCCCCC"/>
              <w:bottom w:val="single" w:sz="4" w:space="0" w:color="CCCCCC"/>
              <w:right w:val="single" w:sz="4" w:space="0" w:color="CCCCCC"/>
            </w:tcBorders>
            <w:shd w:val="clear" w:color="auto" w:fill="D6E4F7"/>
            <w:tcMar>
              <w:top w:w="100" w:type="dxa"/>
              <w:left w:w="120" w:type="dxa"/>
              <w:bottom w:w="100" w:type="dxa"/>
              <w:right w:w="120" w:type="dxa"/>
            </w:tcMar>
            <w:vAlign w:val="center"/>
          </w:tcPr>
          <w:p w14:paraId="0EC67AAA" w14:textId="77777777" w:rsidR="00D278E7" w:rsidRDefault="00000000" w:rsidP="00575212">
            <w:pPr>
              <w:spacing w:line="360" w:lineRule="auto"/>
              <w:jc w:val="center"/>
            </w:pPr>
            <w:r>
              <w:rPr>
                <w:color w:val="000000"/>
              </w:rPr>
              <w:t>N/A</w:t>
            </w:r>
          </w:p>
        </w:tc>
        <w:tc>
          <w:tcPr>
            <w:tcW w:w="2340" w:type="dxa"/>
            <w:tcBorders>
              <w:top w:val="single" w:sz="4" w:space="0" w:color="CCCCCC"/>
              <w:left w:val="single" w:sz="4" w:space="0" w:color="CCCCCC"/>
              <w:bottom w:val="single" w:sz="4" w:space="0" w:color="CCCCCC"/>
              <w:right w:val="single" w:sz="4" w:space="0" w:color="CCCCCC"/>
            </w:tcBorders>
            <w:shd w:val="clear" w:color="auto" w:fill="D6E4F7"/>
            <w:tcMar>
              <w:top w:w="100" w:type="dxa"/>
              <w:left w:w="120" w:type="dxa"/>
              <w:bottom w:w="100" w:type="dxa"/>
              <w:right w:w="120" w:type="dxa"/>
            </w:tcMar>
            <w:vAlign w:val="center"/>
          </w:tcPr>
          <w:p w14:paraId="6F5C7B09" w14:textId="6961844F" w:rsidR="00D278E7" w:rsidRDefault="00000000" w:rsidP="00575212">
            <w:pPr>
              <w:spacing w:line="360" w:lineRule="auto"/>
            </w:pPr>
            <w:r>
              <w:rPr>
                <w:color w:val="000000"/>
              </w:rPr>
              <w:t>Tier 3 (Board)</w:t>
            </w:r>
          </w:p>
        </w:tc>
      </w:tr>
    </w:tbl>
    <w:p w14:paraId="09C09542" w14:textId="77777777" w:rsidR="00D278E7" w:rsidRDefault="00D278E7" w:rsidP="00575212">
      <w:pPr>
        <w:spacing w:before="80" w:line="360" w:lineRule="auto"/>
      </w:pPr>
    </w:p>
    <w:p w14:paraId="3C2ACC29" w14:textId="77777777" w:rsidR="00D278E7" w:rsidRDefault="00000000" w:rsidP="00575212">
      <w:pPr>
        <w:spacing w:before="100" w:after="40" w:line="360" w:lineRule="auto"/>
      </w:pPr>
      <w:r>
        <w:rPr>
          <w:b/>
          <w:bCs/>
          <w:color w:val="000000"/>
        </w:rPr>
        <w:t>Key observations:</w:t>
      </w:r>
    </w:p>
    <w:p w14:paraId="50E709CD" w14:textId="77777777" w:rsidR="00D278E7" w:rsidRDefault="00000000" w:rsidP="00575212">
      <w:pPr>
        <w:pStyle w:val="ListParagraph"/>
        <w:numPr>
          <w:ilvl w:val="0"/>
          <w:numId w:val="2"/>
        </w:numPr>
        <w:spacing w:before="40" w:after="40" w:line="360" w:lineRule="auto"/>
      </w:pPr>
      <w:r>
        <w:t>The median operational transaction is $415, meaning the vast majority of day-to-day purchases are routine, low-dollar items well-suited to delegated authority.</w:t>
      </w:r>
    </w:p>
    <w:p w14:paraId="4A6FCD32" w14:textId="77777777" w:rsidR="00D278E7" w:rsidRDefault="00000000" w:rsidP="00575212">
      <w:pPr>
        <w:pStyle w:val="ListParagraph"/>
        <w:numPr>
          <w:ilvl w:val="0"/>
          <w:numId w:val="2"/>
        </w:numPr>
        <w:spacing w:before="40" w:after="40" w:line="360" w:lineRule="auto"/>
      </w:pPr>
      <w:r>
        <w:t>90% of all transactions fall below $2,600, confirming that most operational purchasing can be handled without Board involvement.</w:t>
      </w:r>
    </w:p>
    <w:p w14:paraId="3E1FDB32" w14:textId="77777777" w:rsidR="00D278E7" w:rsidRDefault="00000000" w:rsidP="00575212">
      <w:pPr>
        <w:pStyle w:val="ListParagraph"/>
        <w:numPr>
          <w:ilvl w:val="0"/>
          <w:numId w:val="2"/>
        </w:numPr>
        <w:spacing w:before="40" w:after="40" w:line="360" w:lineRule="auto"/>
      </w:pPr>
      <w:r>
        <w:t>High-dollar items (road salt, fuel, equipment) represent a small number of transactions but a disproportionate share of spend, warranting dedicated annual contracting strategies (see Section 7).</w:t>
      </w:r>
    </w:p>
    <w:p w14:paraId="6728D372" w14:textId="77777777" w:rsidR="00D278E7" w:rsidRDefault="00000000" w:rsidP="00575212">
      <w:pPr>
        <w:pStyle w:val="ListParagraph"/>
        <w:numPr>
          <w:ilvl w:val="0"/>
          <w:numId w:val="2"/>
        </w:numPr>
        <w:spacing w:before="40" w:after="40" w:line="360" w:lineRule="auto"/>
      </w:pPr>
      <w:r>
        <w:t>Two capital equipment purchases (Tracey Road Equipment: $336,021; Southworth-Milton: $155,244) confirm that major acquisitions are infrequent, discrete events that will always require Board pre-approval.</w:t>
      </w:r>
    </w:p>
    <w:p w14:paraId="2444A4CB" w14:textId="77777777" w:rsidR="00D278E7" w:rsidRDefault="00D278E7" w:rsidP="00575212">
      <w:pPr>
        <w:spacing w:before="80" w:line="360" w:lineRule="auto"/>
      </w:pPr>
    </w:p>
    <w:p w14:paraId="7872B431" w14:textId="77777777" w:rsidR="00D278E7" w:rsidRDefault="00D278E7" w:rsidP="00575212">
      <w:pPr>
        <w:pBdr>
          <w:bottom w:val="single" w:sz="6" w:space="1" w:color="2E5FA3"/>
        </w:pBdr>
        <w:spacing w:before="120" w:after="60" w:line="360" w:lineRule="auto"/>
      </w:pPr>
    </w:p>
    <w:p w14:paraId="6377C1B2" w14:textId="77777777" w:rsidR="00D278E7" w:rsidRDefault="00000000" w:rsidP="00575212">
      <w:pPr>
        <w:pStyle w:val="Heading1"/>
        <w:spacing w:before="120" w:after="80" w:line="360" w:lineRule="auto"/>
      </w:pPr>
      <w:r>
        <w:rPr>
          <w:b w:val="0"/>
          <w:bCs w:val="0"/>
          <w:color w:val="000000"/>
          <w:sz w:val="20"/>
          <w:szCs w:val="20"/>
        </w:rPr>
        <w:t>3.  PURCHASING AUTHORITY MATRIX</w:t>
      </w:r>
    </w:p>
    <w:p w14:paraId="044EBA49" w14:textId="77777777" w:rsidR="00D278E7" w:rsidRDefault="00000000" w:rsidP="00575212">
      <w:pPr>
        <w:spacing w:before="80" w:after="100" w:line="360" w:lineRule="auto"/>
      </w:pPr>
      <w:r>
        <w:rPr>
          <w:color w:val="000000"/>
        </w:rPr>
        <w:t>The following matrix defines the authorization level required by transaction size and category. Where a transaction spans multiple tiers (e.g., a single PO with multiple line items), the total PO value governs the tier applied.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00"/>
        <w:gridCol w:w="1680"/>
        <w:gridCol w:w="1680"/>
        <w:gridCol w:w="1680"/>
        <w:gridCol w:w="2220"/>
      </w:tblGrid>
      <w:tr w:rsidR="00D278E7" w14:paraId="6302FEF2" w14:textId="77777777">
        <w:tblPrEx>
          <w:tblCellMar>
            <w:top w:w="0" w:type="dxa"/>
            <w:bottom w:w="0" w:type="dxa"/>
          </w:tblCellMar>
        </w:tblPrEx>
        <w:trPr>
          <w:tblHeader/>
        </w:trPr>
        <w:tc>
          <w:tcPr>
            <w:tcW w:w="2100" w:type="dxa"/>
            <w:tcBorders>
              <w:top w:val="single" w:sz="4" w:space="0" w:color="2E5FA3"/>
              <w:left w:val="single" w:sz="4" w:space="0" w:color="2E5FA3"/>
              <w:bottom w:val="single" w:sz="4" w:space="0" w:color="2E5FA3"/>
              <w:right w:val="single" w:sz="4" w:space="0" w:color="2E5FA3"/>
            </w:tcBorders>
            <w:shd w:val="clear" w:color="auto" w:fill="1F3864"/>
            <w:tcMar>
              <w:top w:w="100" w:type="dxa"/>
              <w:left w:w="120" w:type="dxa"/>
              <w:bottom w:w="100" w:type="dxa"/>
              <w:right w:w="120" w:type="dxa"/>
            </w:tcMar>
          </w:tcPr>
          <w:p w14:paraId="5B4D3638" w14:textId="77777777" w:rsidR="00D278E7" w:rsidRDefault="00000000" w:rsidP="00575212">
            <w:pPr>
              <w:spacing w:line="360" w:lineRule="auto"/>
              <w:jc w:val="center"/>
            </w:pPr>
            <w:r>
              <w:rPr>
                <w:b/>
                <w:bCs/>
                <w:color w:val="FFFFFF"/>
              </w:rPr>
              <w:t>Purchase Category</w:t>
            </w:r>
          </w:p>
        </w:tc>
        <w:tc>
          <w:tcPr>
            <w:tcW w:w="1680" w:type="dxa"/>
            <w:tcBorders>
              <w:top w:val="single" w:sz="4" w:space="0" w:color="2E5FA3"/>
              <w:left w:val="single" w:sz="4" w:space="0" w:color="2E5FA3"/>
              <w:bottom w:val="single" w:sz="4" w:space="0" w:color="2E5FA3"/>
              <w:right w:val="single" w:sz="4" w:space="0" w:color="2E5FA3"/>
            </w:tcBorders>
            <w:shd w:val="clear" w:color="auto" w:fill="1F3864"/>
            <w:tcMar>
              <w:top w:w="100" w:type="dxa"/>
              <w:left w:w="120" w:type="dxa"/>
              <w:bottom w:w="100" w:type="dxa"/>
              <w:right w:w="120" w:type="dxa"/>
            </w:tcMar>
          </w:tcPr>
          <w:p w14:paraId="3C25E8EC" w14:textId="77777777" w:rsidR="00D278E7" w:rsidRDefault="00000000" w:rsidP="00575212">
            <w:pPr>
              <w:spacing w:line="360" w:lineRule="auto"/>
              <w:jc w:val="center"/>
            </w:pPr>
            <w:r>
              <w:rPr>
                <w:b/>
                <w:bCs/>
                <w:color w:val="FFFFFF"/>
              </w:rPr>
              <w:t>Employee Authority</w:t>
            </w:r>
          </w:p>
        </w:tc>
        <w:tc>
          <w:tcPr>
            <w:tcW w:w="1680" w:type="dxa"/>
            <w:tcBorders>
              <w:top w:val="single" w:sz="4" w:space="0" w:color="2E5FA3"/>
              <w:left w:val="single" w:sz="4" w:space="0" w:color="2E5FA3"/>
              <w:bottom w:val="single" w:sz="4" w:space="0" w:color="2E5FA3"/>
              <w:right w:val="single" w:sz="4" w:space="0" w:color="2E5FA3"/>
            </w:tcBorders>
            <w:shd w:val="clear" w:color="auto" w:fill="1F3864"/>
            <w:tcMar>
              <w:top w:w="100" w:type="dxa"/>
              <w:left w:w="120" w:type="dxa"/>
              <w:bottom w:w="100" w:type="dxa"/>
              <w:right w:w="120" w:type="dxa"/>
            </w:tcMar>
          </w:tcPr>
          <w:p w14:paraId="156572C3" w14:textId="77777777" w:rsidR="00D278E7" w:rsidRDefault="00000000" w:rsidP="00575212">
            <w:pPr>
              <w:spacing w:line="360" w:lineRule="auto"/>
              <w:jc w:val="center"/>
            </w:pPr>
            <w:r>
              <w:rPr>
                <w:b/>
                <w:bCs/>
                <w:color w:val="FFFFFF"/>
              </w:rPr>
              <w:t>Dept. Head Authority</w:t>
            </w:r>
          </w:p>
        </w:tc>
        <w:tc>
          <w:tcPr>
            <w:tcW w:w="1680" w:type="dxa"/>
            <w:tcBorders>
              <w:top w:val="single" w:sz="4" w:space="0" w:color="2E5FA3"/>
              <w:left w:val="single" w:sz="4" w:space="0" w:color="2E5FA3"/>
              <w:bottom w:val="single" w:sz="4" w:space="0" w:color="2E5FA3"/>
              <w:right w:val="single" w:sz="4" w:space="0" w:color="2E5FA3"/>
            </w:tcBorders>
            <w:shd w:val="clear" w:color="auto" w:fill="1F3864"/>
            <w:tcMar>
              <w:top w:w="100" w:type="dxa"/>
              <w:left w:w="120" w:type="dxa"/>
              <w:bottom w:w="100" w:type="dxa"/>
              <w:right w:w="120" w:type="dxa"/>
            </w:tcMar>
          </w:tcPr>
          <w:p w14:paraId="6FF07230" w14:textId="77777777" w:rsidR="00D278E7" w:rsidRDefault="00000000" w:rsidP="00575212">
            <w:pPr>
              <w:spacing w:line="360" w:lineRule="auto"/>
              <w:jc w:val="center"/>
            </w:pPr>
            <w:r>
              <w:rPr>
                <w:b/>
                <w:bCs/>
                <w:color w:val="FFFFFF"/>
              </w:rPr>
              <w:t>Board Pre-Approval</w:t>
            </w:r>
          </w:p>
        </w:tc>
        <w:tc>
          <w:tcPr>
            <w:tcW w:w="2220" w:type="dxa"/>
            <w:tcBorders>
              <w:top w:val="single" w:sz="4" w:space="0" w:color="2E5FA3"/>
              <w:left w:val="single" w:sz="4" w:space="0" w:color="2E5FA3"/>
              <w:bottom w:val="single" w:sz="4" w:space="0" w:color="2E5FA3"/>
              <w:right w:val="single" w:sz="4" w:space="0" w:color="2E5FA3"/>
            </w:tcBorders>
            <w:shd w:val="clear" w:color="auto" w:fill="1F3864"/>
            <w:tcMar>
              <w:top w:w="100" w:type="dxa"/>
              <w:left w:w="120" w:type="dxa"/>
              <w:bottom w:w="100" w:type="dxa"/>
              <w:right w:w="120" w:type="dxa"/>
            </w:tcMar>
          </w:tcPr>
          <w:p w14:paraId="765982FC" w14:textId="77777777" w:rsidR="00D278E7" w:rsidRDefault="00000000" w:rsidP="00575212">
            <w:pPr>
              <w:spacing w:line="360" w:lineRule="auto"/>
              <w:jc w:val="center"/>
            </w:pPr>
            <w:r>
              <w:rPr>
                <w:b/>
                <w:bCs/>
                <w:color w:val="FFFFFF"/>
              </w:rPr>
              <w:t>Required Process</w:t>
            </w:r>
          </w:p>
        </w:tc>
      </w:tr>
      <w:tr w:rsidR="00D278E7" w14:paraId="13BC1560" w14:textId="77777777">
        <w:tblPrEx>
          <w:tblCellMar>
            <w:top w:w="0" w:type="dxa"/>
            <w:bottom w:w="0" w:type="dxa"/>
          </w:tblCellMar>
        </w:tblPrEx>
        <w:tc>
          <w:tcPr>
            <w:tcW w:w="210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20" w:type="dxa"/>
              <w:bottom w:w="100" w:type="dxa"/>
              <w:right w:w="120" w:type="dxa"/>
            </w:tcMar>
            <w:vAlign w:val="center"/>
          </w:tcPr>
          <w:p w14:paraId="04FB7E6E" w14:textId="77777777" w:rsidR="00D278E7" w:rsidRDefault="00000000" w:rsidP="00575212">
            <w:pPr>
              <w:spacing w:line="360" w:lineRule="auto"/>
            </w:pPr>
            <w:r>
              <w:rPr>
                <w:color w:val="000000"/>
              </w:rPr>
              <w:t>Petty Cash / Incidental Field Supplies</w:t>
            </w:r>
          </w:p>
        </w:tc>
        <w:tc>
          <w:tcPr>
            <w:tcW w:w="168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vAlign w:val="center"/>
          </w:tcPr>
          <w:p w14:paraId="3F2E06BF" w14:textId="083982C2" w:rsidR="00D278E7" w:rsidRDefault="00000000" w:rsidP="00575212">
            <w:pPr>
              <w:spacing w:line="360" w:lineRule="auto"/>
              <w:jc w:val="center"/>
            </w:pPr>
            <w:r>
              <w:rPr>
                <w:color w:val="000000"/>
              </w:rPr>
              <w:t>Up to $250</w:t>
            </w:r>
            <w:r w:rsidR="006D563A">
              <w:rPr>
                <w:color w:val="000000"/>
              </w:rPr>
              <w:t xml:space="preserve"> (departments may approve lower petty cash funds)</w:t>
            </w:r>
          </w:p>
        </w:tc>
        <w:tc>
          <w:tcPr>
            <w:tcW w:w="168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vAlign w:val="center"/>
          </w:tcPr>
          <w:p w14:paraId="63C59D7C" w14:textId="77777777" w:rsidR="00D278E7" w:rsidRDefault="00000000" w:rsidP="00575212">
            <w:pPr>
              <w:spacing w:line="360" w:lineRule="auto"/>
              <w:jc w:val="center"/>
            </w:pPr>
            <w:r>
              <w:rPr>
                <w:color w:val="000000"/>
              </w:rPr>
              <w:t>N/A</w:t>
            </w:r>
          </w:p>
        </w:tc>
        <w:tc>
          <w:tcPr>
            <w:tcW w:w="168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vAlign w:val="center"/>
          </w:tcPr>
          <w:p w14:paraId="2F377E8E" w14:textId="77777777" w:rsidR="00D278E7" w:rsidRDefault="00000000" w:rsidP="00575212">
            <w:pPr>
              <w:spacing w:line="360" w:lineRule="auto"/>
              <w:jc w:val="center"/>
            </w:pPr>
            <w:r>
              <w:rPr>
                <w:color w:val="000000"/>
              </w:rPr>
              <w:t>N/A</w:t>
            </w:r>
          </w:p>
        </w:tc>
        <w:tc>
          <w:tcPr>
            <w:tcW w:w="222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vAlign w:val="center"/>
          </w:tcPr>
          <w:p w14:paraId="7EFEE5A0" w14:textId="77D7E01C" w:rsidR="00D278E7" w:rsidRDefault="00000000" w:rsidP="00575212">
            <w:pPr>
              <w:spacing w:line="360" w:lineRule="auto"/>
            </w:pPr>
            <w:r>
              <w:rPr>
                <w:color w:val="000000"/>
              </w:rPr>
              <w:t xml:space="preserve">Receipt within </w:t>
            </w:r>
            <w:r w:rsidR="006D563A">
              <w:rPr>
                <w:color w:val="000000"/>
              </w:rPr>
              <w:t>2 days</w:t>
            </w:r>
            <w:r>
              <w:rPr>
                <w:color w:val="000000"/>
              </w:rPr>
              <w:t>; coded to budget line</w:t>
            </w:r>
          </w:p>
        </w:tc>
      </w:tr>
      <w:tr w:rsidR="00D278E7" w14:paraId="22D2C817" w14:textId="77777777">
        <w:tblPrEx>
          <w:tblCellMar>
            <w:top w:w="0" w:type="dxa"/>
            <w:bottom w:w="0" w:type="dxa"/>
          </w:tblCellMar>
        </w:tblPrEx>
        <w:tc>
          <w:tcPr>
            <w:tcW w:w="2100" w:type="dxa"/>
            <w:tcBorders>
              <w:top w:val="single" w:sz="4" w:space="0" w:color="CCCCCC"/>
              <w:left w:val="single" w:sz="4" w:space="0" w:color="CCCCCC"/>
              <w:bottom w:val="single" w:sz="4" w:space="0" w:color="CCCCCC"/>
              <w:right w:val="single" w:sz="4" w:space="0" w:color="CCCCCC"/>
            </w:tcBorders>
            <w:shd w:val="clear" w:color="auto" w:fill="D6E4F7"/>
            <w:tcMar>
              <w:top w:w="100" w:type="dxa"/>
              <w:left w:w="120" w:type="dxa"/>
              <w:bottom w:w="100" w:type="dxa"/>
              <w:right w:w="120" w:type="dxa"/>
            </w:tcMar>
            <w:vAlign w:val="center"/>
          </w:tcPr>
          <w:p w14:paraId="318CCD3B" w14:textId="77777777" w:rsidR="00D278E7" w:rsidRDefault="00000000" w:rsidP="00575212">
            <w:pPr>
              <w:spacing w:line="360" w:lineRule="auto"/>
            </w:pPr>
            <w:r>
              <w:rPr>
                <w:color w:val="000000"/>
              </w:rPr>
              <w:t>Routine Parts, Supplies &amp; Minor Services</w:t>
            </w:r>
          </w:p>
        </w:tc>
        <w:tc>
          <w:tcPr>
            <w:tcW w:w="1680" w:type="dxa"/>
            <w:tcBorders>
              <w:top w:val="single" w:sz="4" w:space="0" w:color="CCCCCC"/>
              <w:left w:val="single" w:sz="4" w:space="0" w:color="CCCCCC"/>
              <w:bottom w:val="single" w:sz="4" w:space="0" w:color="CCCCCC"/>
              <w:right w:val="single" w:sz="4" w:space="0" w:color="CCCCCC"/>
            </w:tcBorders>
            <w:shd w:val="clear" w:color="auto" w:fill="D6E4F7"/>
            <w:tcMar>
              <w:top w:w="100" w:type="dxa"/>
              <w:left w:w="120" w:type="dxa"/>
              <w:bottom w:w="100" w:type="dxa"/>
              <w:right w:w="120" w:type="dxa"/>
            </w:tcMar>
            <w:vAlign w:val="center"/>
          </w:tcPr>
          <w:p w14:paraId="01AA239C" w14:textId="77777777" w:rsidR="00D278E7" w:rsidRDefault="00000000" w:rsidP="00575212">
            <w:pPr>
              <w:spacing w:line="360" w:lineRule="auto"/>
              <w:jc w:val="center"/>
            </w:pPr>
            <w:r>
              <w:rPr>
                <w:color w:val="000000"/>
              </w:rPr>
              <w:t>Up to $500</w:t>
            </w:r>
          </w:p>
        </w:tc>
        <w:tc>
          <w:tcPr>
            <w:tcW w:w="1680" w:type="dxa"/>
            <w:tcBorders>
              <w:top w:val="single" w:sz="4" w:space="0" w:color="CCCCCC"/>
              <w:left w:val="single" w:sz="4" w:space="0" w:color="CCCCCC"/>
              <w:bottom w:val="single" w:sz="4" w:space="0" w:color="CCCCCC"/>
              <w:right w:val="single" w:sz="4" w:space="0" w:color="CCCCCC"/>
            </w:tcBorders>
            <w:shd w:val="clear" w:color="auto" w:fill="D6E4F7"/>
            <w:tcMar>
              <w:top w:w="100" w:type="dxa"/>
              <w:left w:w="120" w:type="dxa"/>
              <w:bottom w:w="100" w:type="dxa"/>
              <w:right w:w="120" w:type="dxa"/>
            </w:tcMar>
            <w:vAlign w:val="center"/>
          </w:tcPr>
          <w:p w14:paraId="7724BC9C" w14:textId="77777777" w:rsidR="00D278E7" w:rsidRDefault="00000000" w:rsidP="00575212">
            <w:pPr>
              <w:spacing w:line="360" w:lineRule="auto"/>
              <w:jc w:val="center"/>
            </w:pPr>
            <w:r>
              <w:rPr>
                <w:color w:val="000000"/>
              </w:rPr>
              <w:t>$501 - $5,000</w:t>
            </w:r>
          </w:p>
        </w:tc>
        <w:tc>
          <w:tcPr>
            <w:tcW w:w="1680" w:type="dxa"/>
            <w:tcBorders>
              <w:top w:val="single" w:sz="4" w:space="0" w:color="CCCCCC"/>
              <w:left w:val="single" w:sz="4" w:space="0" w:color="CCCCCC"/>
              <w:bottom w:val="single" w:sz="4" w:space="0" w:color="CCCCCC"/>
              <w:right w:val="single" w:sz="4" w:space="0" w:color="CCCCCC"/>
            </w:tcBorders>
            <w:shd w:val="clear" w:color="auto" w:fill="D6E4F7"/>
            <w:tcMar>
              <w:top w:w="100" w:type="dxa"/>
              <w:left w:w="120" w:type="dxa"/>
              <w:bottom w:w="100" w:type="dxa"/>
              <w:right w:w="120" w:type="dxa"/>
            </w:tcMar>
            <w:vAlign w:val="center"/>
          </w:tcPr>
          <w:p w14:paraId="57649B91" w14:textId="77777777" w:rsidR="00D278E7" w:rsidRDefault="00000000" w:rsidP="00575212">
            <w:pPr>
              <w:spacing w:line="360" w:lineRule="auto"/>
              <w:jc w:val="center"/>
            </w:pPr>
            <w:r>
              <w:rPr>
                <w:color w:val="000000"/>
              </w:rPr>
              <w:t>N/A</w:t>
            </w:r>
          </w:p>
        </w:tc>
        <w:tc>
          <w:tcPr>
            <w:tcW w:w="2220" w:type="dxa"/>
            <w:tcBorders>
              <w:top w:val="single" w:sz="4" w:space="0" w:color="CCCCCC"/>
              <w:left w:val="single" w:sz="4" w:space="0" w:color="CCCCCC"/>
              <w:bottom w:val="single" w:sz="4" w:space="0" w:color="CCCCCC"/>
              <w:right w:val="single" w:sz="4" w:space="0" w:color="CCCCCC"/>
            </w:tcBorders>
            <w:shd w:val="clear" w:color="auto" w:fill="D6E4F7"/>
            <w:tcMar>
              <w:top w:w="100" w:type="dxa"/>
              <w:left w:w="120" w:type="dxa"/>
              <w:bottom w:w="100" w:type="dxa"/>
              <w:right w:w="120" w:type="dxa"/>
            </w:tcMar>
            <w:vAlign w:val="center"/>
          </w:tcPr>
          <w:p w14:paraId="49B0E876" w14:textId="77777777" w:rsidR="00D278E7" w:rsidRDefault="00000000" w:rsidP="00575212">
            <w:pPr>
              <w:spacing w:line="360" w:lineRule="auto"/>
            </w:pPr>
            <w:r>
              <w:rPr>
                <w:color w:val="000000"/>
              </w:rPr>
              <w:t>PO required &gt;$500; single quote acceptable</w:t>
            </w:r>
          </w:p>
        </w:tc>
      </w:tr>
      <w:tr w:rsidR="00D278E7" w14:paraId="3BB32829" w14:textId="77777777">
        <w:tblPrEx>
          <w:tblCellMar>
            <w:top w:w="0" w:type="dxa"/>
            <w:bottom w:w="0" w:type="dxa"/>
          </w:tblCellMar>
        </w:tblPrEx>
        <w:tc>
          <w:tcPr>
            <w:tcW w:w="210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20" w:type="dxa"/>
              <w:bottom w:w="100" w:type="dxa"/>
              <w:right w:w="120" w:type="dxa"/>
            </w:tcMar>
            <w:vAlign w:val="center"/>
          </w:tcPr>
          <w:p w14:paraId="0B52F04D" w14:textId="77777777" w:rsidR="00D278E7" w:rsidRDefault="00000000" w:rsidP="00575212">
            <w:pPr>
              <w:spacing w:line="360" w:lineRule="auto"/>
            </w:pPr>
            <w:r>
              <w:rPr>
                <w:color w:val="000000"/>
              </w:rPr>
              <w:t>Major Repairs, Equipment &amp; Contracted Services</w:t>
            </w:r>
          </w:p>
        </w:tc>
        <w:tc>
          <w:tcPr>
            <w:tcW w:w="168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vAlign w:val="center"/>
          </w:tcPr>
          <w:p w14:paraId="07D97A91" w14:textId="77777777" w:rsidR="00D278E7" w:rsidRDefault="00000000" w:rsidP="00575212">
            <w:pPr>
              <w:spacing w:line="360" w:lineRule="auto"/>
              <w:jc w:val="center"/>
            </w:pPr>
            <w:r>
              <w:rPr>
                <w:color w:val="000000"/>
              </w:rPr>
              <w:t>None</w:t>
            </w:r>
          </w:p>
        </w:tc>
        <w:tc>
          <w:tcPr>
            <w:tcW w:w="168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vAlign w:val="center"/>
          </w:tcPr>
          <w:p w14:paraId="3D3FAFD1" w14:textId="77777777" w:rsidR="00D278E7" w:rsidRDefault="00000000" w:rsidP="00575212">
            <w:pPr>
              <w:spacing w:line="360" w:lineRule="auto"/>
              <w:jc w:val="center"/>
            </w:pPr>
            <w:r>
              <w:rPr>
                <w:color w:val="000000"/>
              </w:rPr>
              <w:t>$5,001 - $20,000</w:t>
            </w:r>
          </w:p>
        </w:tc>
        <w:tc>
          <w:tcPr>
            <w:tcW w:w="168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vAlign w:val="center"/>
          </w:tcPr>
          <w:p w14:paraId="4F48C608" w14:textId="77777777" w:rsidR="00D278E7" w:rsidRDefault="00000000" w:rsidP="00575212">
            <w:pPr>
              <w:spacing w:line="360" w:lineRule="auto"/>
              <w:jc w:val="center"/>
            </w:pPr>
            <w:r>
              <w:rPr>
                <w:color w:val="000000"/>
              </w:rPr>
              <w:t>N/A</w:t>
            </w:r>
          </w:p>
        </w:tc>
        <w:tc>
          <w:tcPr>
            <w:tcW w:w="222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vAlign w:val="center"/>
          </w:tcPr>
          <w:p w14:paraId="35E20A55" w14:textId="77777777" w:rsidR="00D278E7" w:rsidRDefault="00000000" w:rsidP="00575212">
            <w:pPr>
              <w:spacing w:line="360" w:lineRule="auto"/>
            </w:pPr>
            <w:r>
              <w:rPr>
                <w:color w:val="000000"/>
              </w:rPr>
              <w:t>Min. 3 written quotes; budget confirmation required</w:t>
            </w:r>
          </w:p>
        </w:tc>
      </w:tr>
      <w:tr w:rsidR="00D278E7" w14:paraId="75173027" w14:textId="77777777">
        <w:tblPrEx>
          <w:tblCellMar>
            <w:top w:w="0" w:type="dxa"/>
            <w:bottom w:w="0" w:type="dxa"/>
          </w:tblCellMar>
        </w:tblPrEx>
        <w:tc>
          <w:tcPr>
            <w:tcW w:w="2100" w:type="dxa"/>
            <w:tcBorders>
              <w:top w:val="single" w:sz="4" w:space="0" w:color="CCCCCC"/>
              <w:left w:val="single" w:sz="4" w:space="0" w:color="CCCCCC"/>
              <w:bottom w:val="single" w:sz="4" w:space="0" w:color="CCCCCC"/>
              <w:right w:val="single" w:sz="4" w:space="0" w:color="CCCCCC"/>
            </w:tcBorders>
            <w:shd w:val="clear" w:color="auto" w:fill="D6E4F7"/>
            <w:tcMar>
              <w:top w:w="100" w:type="dxa"/>
              <w:left w:w="120" w:type="dxa"/>
              <w:bottom w:w="100" w:type="dxa"/>
              <w:right w:w="120" w:type="dxa"/>
            </w:tcMar>
            <w:vAlign w:val="center"/>
          </w:tcPr>
          <w:p w14:paraId="63187918" w14:textId="77777777" w:rsidR="00D278E7" w:rsidRDefault="00000000" w:rsidP="00575212">
            <w:pPr>
              <w:spacing w:line="360" w:lineRule="auto"/>
            </w:pPr>
            <w:r>
              <w:rPr>
                <w:color w:val="000000"/>
              </w:rPr>
              <w:t>Bulk Materials, Capital &amp; Large Contracts</w:t>
            </w:r>
          </w:p>
        </w:tc>
        <w:tc>
          <w:tcPr>
            <w:tcW w:w="1680" w:type="dxa"/>
            <w:tcBorders>
              <w:top w:val="single" w:sz="4" w:space="0" w:color="CCCCCC"/>
              <w:left w:val="single" w:sz="4" w:space="0" w:color="CCCCCC"/>
              <w:bottom w:val="single" w:sz="4" w:space="0" w:color="CCCCCC"/>
              <w:right w:val="single" w:sz="4" w:space="0" w:color="CCCCCC"/>
            </w:tcBorders>
            <w:shd w:val="clear" w:color="auto" w:fill="D6E4F7"/>
            <w:tcMar>
              <w:top w:w="100" w:type="dxa"/>
              <w:left w:w="120" w:type="dxa"/>
              <w:bottom w:w="100" w:type="dxa"/>
              <w:right w:w="120" w:type="dxa"/>
            </w:tcMar>
            <w:vAlign w:val="center"/>
          </w:tcPr>
          <w:p w14:paraId="3CEA8382" w14:textId="77777777" w:rsidR="00D278E7" w:rsidRDefault="00000000" w:rsidP="00575212">
            <w:pPr>
              <w:spacing w:line="360" w:lineRule="auto"/>
              <w:jc w:val="center"/>
            </w:pPr>
            <w:r>
              <w:rPr>
                <w:color w:val="000000"/>
              </w:rPr>
              <w:t>None</w:t>
            </w:r>
          </w:p>
        </w:tc>
        <w:tc>
          <w:tcPr>
            <w:tcW w:w="1680" w:type="dxa"/>
            <w:tcBorders>
              <w:top w:val="single" w:sz="4" w:space="0" w:color="CCCCCC"/>
              <w:left w:val="single" w:sz="4" w:space="0" w:color="CCCCCC"/>
              <w:bottom w:val="single" w:sz="4" w:space="0" w:color="CCCCCC"/>
              <w:right w:val="single" w:sz="4" w:space="0" w:color="CCCCCC"/>
            </w:tcBorders>
            <w:shd w:val="clear" w:color="auto" w:fill="D6E4F7"/>
            <w:tcMar>
              <w:top w:w="100" w:type="dxa"/>
              <w:left w:w="120" w:type="dxa"/>
              <w:bottom w:w="100" w:type="dxa"/>
              <w:right w:w="120" w:type="dxa"/>
            </w:tcMar>
            <w:vAlign w:val="center"/>
          </w:tcPr>
          <w:p w14:paraId="0BC3DA63" w14:textId="77777777" w:rsidR="00D278E7" w:rsidRDefault="00000000" w:rsidP="00575212">
            <w:pPr>
              <w:spacing w:line="360" w:lineRule="auto"/>
              <w:jc w:val="center"/>
            </w:pPr>
            <w:r>
              <w:rPr>
                <w:color w:val="000000"/>
              </w:rPr>
              <w:t>None</w:t>
            </w:r>
          </w:p>
        </w:tc>
        <w:tc>
          <w:tcPr>
            <w:tcW w:w="1680" w:type="dxa"/>
            <w:tcBorders>
              <w:top w:val="single" w:sz="4" w:space="0" w:color="CCCCCC"/>
              <w:left w:val="single" w:sz="4" w:space="0" w:color="CCCCCC"/>
              <w:bottom w:val="single" w:sz="4" w:space="0" w:color="CCCCCC"/>
              <w:right w:val="single" w:sz="4" w:space="0" w:color="CCCCCC"/>
            </w:tcBorders>
            <w:shd w:val="clear" w:color="auto" w:fill="D6E4F7"/>
            <w:tcMar>
              <w:top w:w="100" w:type="dxa"/>
              <w:left w:w="120" w:type="dxa"/>
              <w:bottom w:w="100" w:type="dxa"/>
              <w:right w:w="120" w:type="dxa"/>
            </w:tcMar>
            <w:vAlign w:val="center"/>
          </w:tcPr>
          <w:p w14:paraId="739DB85E" w14:textId="77777777" w:rsidR="00D278E7" w:rsidRDefault="00000000" w:rsidP="00575212">
            <w:pPr>
              <w:spacing w:line="360" w:lineRule="auto"/>
              <w:jc w:val="center"/>
            </w:pPr>
            <w:r>
              <w:rPr>
                <w:color w:val="000000"/>
              </w:rPr>
              <w:t>&gt;$20,000</w:t>
            </w:r>
          </w:p>
        </w:tc>
        <w:tc>
          <w:tcPr>
            <w:tcW w:w="2220" w:type="dxa"/>
            <w:tcBorders>
              <w:top w:val="single" w:sz="4" w:space="0" w:color="CCCCCC"/>
              <w:left w:val="single" w:sz="4" w:space="0" w:color="CCCCCC"/>
              <w:bottom w:val="single" w:sz="4" w:space="0" w:color="CCCCCC"/>
              <w:right w:val="single" w:sz="4" w:space="0" w:color="CCCCCC"/>
            </w:tcBorders>
            <w:shd w:val="clear" w:color="auto" w:fill="D6E4F7"/>
            <w:tcMar>
              <w:top w:w="100" w:type="dxa"/>
              <w:left w:w="120" w:type="dxa"/>
              <w:bottom w:w="100" w:type="dxa"/>
              <w:right w:w="120" w:type="dxa"/>
            </w:tcMar>
            <w:vAlign w:val="center"/>
          </w:tcPr>
          <w:p w14:paraId="04B6D507" w14:textId="77777777" w:rsidR="00D278E7" w:rsidRDefault="00000000" w:rsidP="00575212">
            <w:pPr>
              <w:spacing w:line="360" w:lineRule="auto"/>
            </w:pPr>
            <w:r>
              <w:rPr>
                <w:color w:val="000000"/>
              </w:rPr>
              <w:t>Formal Board resolution; GML §103 bidding required &gt;$20K goods / &gt;$35K works</w:t>
            </w:r>
          </w:p>
        </w:tc>
      </w:tr>
      <w:tr w:rsidR="00D278E7" w14:paraId="27E1F0F0" w14:textId="77777777">
        <w:tblPrEx>
          <w:tblCellMar>
            <w:top w:w="0" w:type="dxa"/>
            <w:bottom w:w="0" w:type="dxa"/>
          </w:tblCellMar>
        </w:tblPrEx>
        <w:tc>
          <w:tcPr>
            <w:tcW w:w="210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20" w:type="dxa"/>
              <w:bottom w:w="100" w:type="dxa"/>
              <w:right w:w="120" w:type="dxa"/>
            </w:tcMar>
            <w:vAlign w:val="center"/>
          </w:tcPr>
          <w:p w14:paraId="159F345E" w14:textId="77777777" w:rsidR="00D278E7" w:rsidRDefault="00000000" w:rsidP="00575212">
            <w:pPr>
              <w:spacing w:line="360" w:lineRule="auto"/>
            </w:pPr>
            <w:r>
              <w:rPr>
                <w:color w:val="000000"/>
              </w:rPr>
              <w:lastRenderedPageBreak/>
              <w:t>Emergency Purchases (any tier)</w:t>
            </w:r>
          </w:p>
        </w:tc>
        <w:tc>
          <w:tcPr>
            <w:tcW w:w="168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vAlign w:val="center"/>
          </w:tcPr>
          <w:p w14:paraId="17A8B8B7" w14:textId="77777777" w:rsidR="00D278E7" w:rsidRDefault="00000000" w:rsidP="00575212">
            <w:pPr>
              <w:spacing w:line="360" w:lineRule="auto"/>
              <w:jc w:val="center"/>
            </w:pPr>
            <w:r>
              <w:rPr>
                <w:color w:val="000000"/>
              </w:rPr>
              <w:t>Up to $250</w:t>
            </w:r>
          </w:p>
        </w:tc>
        <w:tc>
          <w:tcPr>
            <w:tcW w:w="168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vAlign w:val="center"/>
          </w:tcPr>
          <w:p w14:paraId="3EC311A8" w14:textId="77777777" w:rsidR="00D278E7" w:rsidRDefault="00000000" w:rsidP="00575212">
            <w:pPr>
              <w:spacing w:line="360" w:lineRule="auto"/>
              <w:jc w:val="center"/>
            </w:pPr>
            <w:r>
              <w:rPr>
                <w:color w:val="000000"/>
              </w:rPr>
              <w:t>Up to $20,000</w:t>
            </w:r>
          </w:p>
        </w:tc>
        <w:tc>
          <w:tcPr>
            <w:tcW w:w="168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vAlign w:val="center"/>
          </w:tcPr>
          <w:p w14:paraId="5C893751" w14:textId="77777777" w:rsidR="00D278E7" w:rsidRDefault="00000000" w:rsidP="00575212">
            <w:pPr>
              <w:spacing w:line="360" w:lineRule="auto"/>
              <w:jc w:val="center"/>
            </w:pPr>
            <w:r>
              <w:rPr>
                <w:color w:val="000000"/>
              </w:rPr>
              <w:t>Ratification at next meeting</w:t>
            </w:r>
          </w:p>
        </w:tc>
        <w:tc>
          <w:tcPr>
            <w:tcW w:w="2220" w:type="dxa"/>
            <w:tcBorders>
              <w:top w:val="single" w:sz="4" w:space="0" w:color="CCCCCC"/>
              <w:left w:val="single" w:sz="4" w:space="0" w:color="CCCCCC"/>
              <w:bottom w:val="single" w:sz="4" w:space="0" w:color="CCCCCC"/>
              <w:right w:val="single" w:sz="4" w:space="0" w:color="CCCCCC"/>
            </w:tcBorders>
            <w:tcMar>
              <w:top w:w="100" w:type="dxa"/>
              <w:left w:w="120" w:type="dxa"/>
              <w:bottom w:w="100" w:type="dxa"/>
              <w:right w:w="120" w:type="dxa"/>
            </w:tcMar>
            <w:vAlign w:val="center"/>
          </w:tcPr>
          <w:p w14:paraId="171BFDBD" w14:textId="77777777" w:rsidR="00D278E7" w:rsidRDefault="00000000" w:rsidP="00575212">
            <w:pPr>
              <w:spacing w:line="360" w:lineRule="auto"/>
            </w:pPr>
            <w:r>
              <w:rPr>
                <w:color w:val="000000"/>
              </w:rPr>
              <w:t>Immediate written notification to Town Supervisor; Board ratification required</w:t>
            </w:r>
          </w:p>
        </w:tc>
      </w:tr>
    </w:tbl>
    <w:p w14:paraId="21E4E049" w14:textId="77777777" w:rsidR="00D278E7" w:rsidRDefault="00D278E7" w:rsidP="00575212">
      <w:pPr>
        <w:spacing w:before="80" w:line="360" w:lineRule="auto"/>
      </w:pPr>
    </w:p>
    <w:p w14:paraId="647D13BA" w14:textId="77777777" w:rsidR="00D278E7" w:rsidRDefault="00D278E7" w:rsidP="00575212">
      <w:pPr>
        <w:pBdr>
          <w:bottom w:val="single" w:sz="6" w:space="1" w:color="2E5FA3"/>
        </w:pBdr>
        <w:spacing w:before="120" w:after="60" w:line="360" w:lineRule="auto"/>
      </w:pPr>
    </w:p>
    <w:p w14:paraId="2D6AC427" w14:textId="77777777" w:rsidR="00D278E7" w:rsidRDefault="00000000" w:rsidP="00575212">
      <w:pPr>
        <w:pStyle w:val="Heading1"/>
        <w:spacing w:before="120" w:after="80" w:line="360" w:lineRule="auto"/>
      </w:pPr>
      <w:r>
        <w:rPr>
          <w:b w:val="0"/>
          <w:bCs w:val="0"/>
          <w:color w:val="000000"/>
          <w:sz w:val="20"/>
          <w:szCs w:val="20"/>
        </w:rPr>
        <w:t>4.  TIER DEFINITIONS AND REQUIREMENTS</w:t>
      </w:r>
    </w:p>
    <w:p w14:paraId="73F3D020" w14:textId="48F90AC6" w:rsidR="00D278E7" w:rsidRDefault="00000000" w:rsidP="00575212">
      <w:pPr>
        <w:pStyle w:val="Heading2"/>
        <w:spacing w:before="120" w:line="360" w:lineRule="auto"/>
      </w:pPr>
      <w:r>
        <w:rPr>
          <w:b w:val="0"/>
          <w:bCs w:val="0"/>
          <w:color w:val="000000"/>
          <w:sz w:val="20"/>
          <w:szCs w:val="20"/>
        </w:rPr>
        <w:t xml:space="preserve">4.1  Tier 1: </w:t>
      </w:r>
      <w:r w:rsidR="006D563A">
        <w:rPr>
          <w:b w:val="0"/>
          <w:bCs w:val="0"/>
          <w:color w:val="000000"/>
          <w:sz w:val="20"/>
          <w:szCs w:val="20"/>
        </w:rPr>
        <w:t>Department Head</w:t>
      </w:r>
    </w:p>
    <w:p w14:paraId="6B845229" w14:textId="4DA9ECA8" w:rsidR="00D278E7" w:rsidRDefault="00000000" w:rsidP="00575212">
      <w:pPr>
        <w:spacing w:before="60" w:after="40" w:line="360" w:lineRule="auto"/>
      </w:pPr>
      <w:r>
        <w:rPr>
          <w:color w:val="000000"/>
        </w:rPr>
        <w:t xml:space="preserve">Authorized personnel: All </w:t>
      </w:r>
      <w:r w:rsidR="006D563A">
        <w:rPr>
          <w:color w:val="000000"/>
        </w:rPr>
        <w:t>Department Heads</w:t>
      </w:r>
    </w:p>
    <w:p w14:paraId="4E50D685" w14:textId="77777777" w:rsidR="00D278E7" w:rsidRDefault="00000000" w:rsidP="00575212">
      <w:pPr>
        <w:spacing w:before="120" w:after="60" w:line="360" w:lineRule="auto"/>
      </w:pPr>
      <w:r>
        <w:rPr>
          <w:color w:val="000000"/>
        </w:rPr>
        <w:t>Tier 1 covers emergency field purchases, incidental supplies, and small parts necessary to maintain operational continuity without delay. Examples include hardware, small replacement parts, incidental welding supplies, and fuel when departmental accounts are unavailable.</w:t>
      </w:r>
    </w:p>
    <w:p w14:paraId="0E428E40" w14:textId="5ADA1C35" w:rsidR="00D278E7" w:rsidRDefault="00000000" w:rsidP="00575212">
      <w:pPr>
        <w:pStyle w:val="ListParagraph"/>
        <w:numPr>
          <w:ilvl w:val="0"/>
          <w:numId w:val="2"/>
        </w:numPr>
        <w:spacing w:before="40" w:after="40" w:line="360" w:lineRule="auto"/>
      </w:pPr>
      <w:r>
        <w:t xml:space="preserve">A receipt must be submitted to the </w:t>
      </w:r>
      <w:r w:rsidR="006D563A">
        <w:t>department clerk</w:t>
      </w:r>
      <w:r>
        <w:t xml:space="preserve"> within </w:t>
      </w:r>
      <w:r w:rsidR="006D563A">
        <w:t>2</w:t>
      </w:r>
      <w:r>
        <w:t xml:space="preserve"> business day</w:t>
      </w:r>
      <w:r w:rsidR="00A15BEB">
        <w:t>(s)</w:t>
      </w:r>
      <w:r>
        <w:t>.</w:t>
      </w:r>
    </w:p>
    <w:p w14:paraId="2A57F03D" w14:textId="77777777" w:rsidR="00D278E7" w:rsidRDefault="00000000" w:rsidP="00575212">
      <w:pPr>
        <w:pStyle w:val="ListParagraph"/>
        <w:numPr>
          <w:ilvl w:val="0"/>
          <w:numId w:val="2"/>
        </w:numPr>
        <w:spacing w:before="40" w:after="40" w:line="360" w:lineRule="auto"/>
      </w:pPr>
      <w:r>
        <w:t>The purchase must be coded to the appropriate budget line at time of submission.</w:t>
      </w:r>
    </w:p>
    <w:p w14:paraId="0AA8167A" w14:textId="43888580" w:rsidR="00D278E7" w:rsidRDefault="00000000" w:rsidP="00575212">
      <w:pPr>
        <w:pStyle w:val="ListParagraph"/>
        <w:numPr>
          <w:ilvl w:val="0"/>
          <w:numId w:val="2"/>
        </w:numPr>
        <w:spacing w:before="40" w:after="40" w:line="360" w:lineRule="auto"/>
      </w:pPr>
      <w:r>
        <w:t xml:space="preserve">Monthly aggregate per </w:t>
      </w:r>
      <w:r w:rsidR="006D563A">
        <w:t>individual</w:t>
      </w:r>
      <w:r>
        <w:t xml:space="preserve"> must not exceed $</w:t>
      </w:r>
      <w:r w:rsidR="006D563A">
        <w:t>5,0</w:t>
      </w:r>
      <w:r>
        <w:t>00 without Superintendent pre-approval.</w:t>
      </w:r>
    </w:p>
    <w:p w14:paraId="6D72F047" w14:textId="77777777" w:rsidR="00D278E7" w:rsidRDefault="00000000" w:rsidP="00575212">
      <w:pPr>
        <w:pStyle w:val="ListParagraph"/>
        <w:numPr>
          <w:ilvl w:val="0"/>
          <w:numId w:val="2"/>
        </w:numPr>
        <w:spacing w:before="40" w:after="40" w:line="360" w:lineRule="auto"/>
      </w:pPr>
      <w:r>
        <w:t>Purchases must not be split across multiple transactions to avoid exceeding the $500 threshold (prohibited purchase splitting).</w:t>
      </w:r>
    </w:p>
    <w:p w14:paraId="6D78C934" w14:textId="77777777" w:rsidR="00D278E7" w:rsidRDefault="00D278E7" w:rsidP="00575212">
      <w:pPr>
        <w:spacing w:before="60" w:line="360" w:lineRule="auto"/>
      </w:pPr>
    </w:p>
    <w:p w14:paraId="4DCBC202" w14:textId="77777777" w:rsidR="00D278E7" w:rsidRDefault="00000000" w:rsidP="00575212">
      <w:pPr>
        <w:pStyle w:val="Heading2"/>
        <w:spacing w:before="120" w:line="360" w:lineRule="auto"/>
      </w:pPr>
      <w:r>
        <w:rPr>
          <w:b w:val="0"/>
          <w:bCs w:val="0"/>
          <w:color w:val="000000"/>
          <w:sz w:val="20"/>
          <w:szCs w:val="20"/>
        </w:rPr>
        <w:t>4.2  Tier 2A: Department Head Authority, Standard (Up to $5,000)</w:t>
      </w:r>
    </w:p>
    <w:p w14:paraId="1CDE92C8" w14:textId="6769BB9B" w:rsidR="00D278E7" w:rsidRDefault="00000000" w:rsidP="00575212">
      <w:pPr>
        <w:spacing w:before="60" w:after="40" w:line="360" w:lineRule="auto"/>
      </w:pPr>
      <w:r>
        <w:rPr>
          <w:color w:val="000000"/>
        </w:rPr>
        <w:t xml:space="preserve">Authorized personnel: </w:t>
      </w:r>
      <w:r w:rsidR="006D563A">
        <w:rPr>
          <w:color w:val="000000"/>
        </w:rPr>
        <w:t>Department Head</w:t>
      </w:r>
      <w:r>
        <w:rPr>
          <w:color w:val="000000"/>
        </w:rPr>
        <w:t>.</w:t>
      </w:r>
    </w:p>
    <w:p w14:paraId="21B1C425" w14:textId="77777777" w:rsidR="00D278E7" w:rsidRDefault="00000000" w:rsidP="00575212">
      <w:pPr>
        <w:spacing w:before="120" w:after="60" w:line="360" w:lineRule="auto"/>
      </w:pPr>
      <w:r>
        <w:rPr>
          <w:color w:val="000000"/>
        </w:rPr>
        <w:t>Tier 2A covers the majority of routine operational procurement including parts, tires, smaller equipment repairs, contracted labor, and supply orders from standing vendors.</w:t>
      </w:r>
    </w:p>
    <w:p w14:paraId="18A10120" w14:textId="5AD2F59F" w:rsidR="00D278E7" w:rsidRDefault="00000000" w:rsidP="00575212">
      <w:pPr>
        <w:pStyle w:val="ListParagraph"/>
        <w:numPr>
          <w:ilvl w:val="0"/>
          <w:numId w:val="2"/>
        </w:numPr>
        <w:spacing w:before="40" w:after="40" w:line="360" w:lineRule="auto"/>
      </w:pPr>
      <w:r>
        <w:t>A single written or verbal quote is sufficient</w:t>
      </w:r>
      <w:r w:rsidR="006D563A">
        <w:t xml:space="preserve"> (with signed sole source justification)</w:t>
      </w:r>
      <w:r>
        <w:t>; the Superintendent documents the vendor selected and rationale.</w:t>
      </w:r>
    </w:p>
    <w:p w14:paraId="73B4F02E" w14:textId="77777777" w:rsidR="00D278E7" w:rsidRDefault="00000000" w:rsidP="00575212">
      <w:pPr>
        <w:pStyle w:val="ListParagraph"/>
        <w:numPr>
          <w:ilvl w:val="0"/>
          <w:numId w:val="2"/>
        </w:numPr>
        <w:spacing w:before="40" w:after="40" w:line="360" w:lineRule="auto"/>
      </w:pPr>
      <w:r>
        <w:t>Confirmation that funds are available in the applicable budget line is required prior to commitment.</w:t>
      </w:r>
    </w:p>
    <w:p w14:paraId="7F6F0074" w14:textId="77777777" w:rsidR="00D278E7" w:rsidRDefault="00000000" w:rsidP="00575212">
      <w:pPr>
        <w:pStyle w:val="ListParagraph"/>
        <w:numPr>
          <w:ilvl w:val="0"/>
          <w:numId w:val="2"/>
        </w:numPr>
        <w:spacing w:before="40" w:after="40" w:line="360" w:lineRule="auto"/>
      </w:pPr>
      <w:r>
        <w:t>All documentation is retained on file for a minimum of six (6) years per NYS records retention requirements.</w:t>
      </w:r>
    </w:p>
    <w:p w14:paraId="60716A22" w14:textId="77777777" w:rsidR="00D278E7" w:rsidRDefault="00D278E7" w:rsidP="00575212">
      <w:pPr>
        <w:spacing w:before="60" w:line="360" w:lineRule="auto"/>
      </w:pPr>
    </w:p>
    <w:p w14:paraId="7A018E43" w14:textId="463472C0" w:rsidR="00D278E7" w:rsidRDefault="00000000" w:rsidP="00575212">
      <w:pPr>
        <w:pStyle w:val="Heading2"/>
        <w:spacing w:before="120" w:line="360" w:lineRule="auto"/>
      </w:pPr>
      <w:r>
        <w:rPr>
          <w:b w:val="0"/>
          <w:bCs w:val="0"/>
          <w:color w:val="000000"/>
          <w:sz w:val="20"/>
          <w:szCs w:val="20"/>
        </w:rPr>
        <w:t>4.3  Tier 2B: Department Head Authority, Competitive (Up to $</w:t>
      </w:r>
      <w:r w:rsidR="006D563A">
        <w:rPr>
          <w:b w:val="0"/>
          <w:bCs w:val="0"/>
          <w:color w:val="000000"/>
          <w:sz w:val="20"/>
          <w:szCs w:val="20"/>
        </w:rPr>
        <w:t>1</w:t>
      </w:r>
      <w:r>
        <w:rPr>
          <w:b w:val="0"/>
          <w:bCs w:val="0"/>
          <w:color w:val="000000"/>
          <w:sz w:val="20"/>
          <w:szCs w:val="20"/>
        </w:rPr>
        <w:t>0,000)</w:t>
      </w:r>
    </w:p>
    <w:p w14:paraId="28BBA078" w14:textId="08B2B059" w:rsidR="00D278E7" w:rsidRDefault="00000000" w:rsidP="00575212">
      <w:pPr>
        <w:spacing w:before="60" w:after="40" w:line="360" w:lineRule="auto"/>
      </w:pPr>
      <w:r>
        <w:rPr>
          <w:color w:val="000000"/>
        </w:rPr>
        <w:t xml:space="preserve">Authorized personnel: </w:t>
      </w:r>
      <w:r w:rsidR="006D563A">
        <w:rPr>
          <w:color w:val="000000"/>
        </w:rPr>
        <w:t>Department Head</w:t>
      </w:r>
      <w:r>
        <w:rPr>
          <w:color w:val="000000"/>
        </w:rPr>
        <w:t>.</w:t>
      </w:r>
    </w:p>
    <w:p w14:paraId="4107E673" w14:textId="51E4ECFE" w:rsidR="00D278E7" w:rsidRDefault="00000000" w:rsidP="00575212">
      <w:pPr>
        <w:spacing w:before="120" w:after="60" w:line="360" w:lineRule="auto"/>
      </w:pPr>
      <w:r>
        <w:rPr>
          <w:color w:val="000000"/>
        </w:rPr>
        <w:lastRenderedPageBreak/>
        <w:t>Tier 2B covers larger service calls, significant parts or supply orders, equipment rentals, and purchases not covered by an existing annual contract. This range encompasses the $5,001 to $</w:t>
      </w:r>
      <w:r w:rsidR="006D563A">
        <w:rPr>
          <w:color w:val="000000"/>
        </w:rPr>
        <w:t>1</w:t>
      </w:r>
      <w:r>
        <w:rPr>
          <w:color w:val="000000"/>
        </w:rPr>
        <w:t>0,000 band where competitive discipline is important but Board scheduling overhead would impair operational responsiveness.</w:t>
      </w:r>
    </w:p>
    <w:p w14:paraId="67208EDC" w14:textId="3D4E9D13" w:rsidR="00D278E7" w:rsidRDefault="00000000" w:rsidP="00575212">
      <w:pPr>
        <w:pStyle w:val="ListParagraph"/>
        <w:numPr>
          <w:ilvl w:val="0"/>
          <w:numId w:val="2"/>
        </w:numPr>
        <w:spacing w:before="40" w:after="40" w:line="360" w:lineRule="auto"/>
      </w:pPr>
      <w:r>
        <w:t xml:space="preserve">A minimum of </w:t>
      </w:r>
      <w:r w:rsidR="006D563A">
        <w:t>two</w:t>
      </w:r>
      <w:r>
        <w:t xml:space="preserve"> (</w:t>
      </w:r>
      <w:r w:rsidR="006D563A">
        <w:t>2</w:t>
      </w:r>
      <w:r>
        <w:t>) written</w:t>
      </w:r>
      <w:r w:rsidR="006D563A">
        <w:t xml:space="preserve"> or verbal</w:t>
      </w:r>
      <w:r>
        <w:t xml:space="preserve"> quotes must be </w:t>
      </w:r>
      <w:r w:rsidR="006D563A">
        <w:t>requested</w:t>
      </w:r>
      <w:r>
        <w:t xml:space="preserve"> and retained on file.</w:t>
      </w:r>
    </w:p>
    <w:p w14:paraId="671579E4" w14:textId="77777777" w:rsidR="00D278E7" w:rsidRDefault="00000000" w:rsidP="00575212">
      <w:pPr>
        <w:pStyle w:val="ListParagraph"/>
        <w:numPr>
          <w:ilvl w:val="0"/>
          <w:numId w:val="2"/>
        </w:numPr>
        <w:spacing w:before="40" w:after="40" w:line="360" w:lineRule="auto"/>
      </w:pPr>
      <w:r>
        <w:t>The Superintendent documents the basis for vendor selection if the lowest quote is not chosen.</w:t>
      </w:r>
    </w:p>
    <w:p w14:paraId="0B4B1586" w14:textId="227C73E8" w:rsidR="00D278E7" w:rsidRDefault="00000000" w:rsidP="00575212">
      <w:pPr>
        <w:pStyle w:val="ListParagraph"/>
        <w:numPr>
          <w:ilvl w:val="0"/>
          <w:numId w:val="2"/>
        </w:numPr>
        <w:spacing w:before="40" w:after="40" w:line="360" w:lineRule="auto"/>
      </w:pPr>
      <w:r>
        <w:t>Budget line availability must be confirmed prior to commitment.</w:t>
      </w:r>
    </w:p>
    <w:p w14:paraId="5A856B7A" w14:textId="77777777" w:rsidR="00D278E7" w:rsidRDefault="00000000" w:rsidP="00575212">
      <w:pPr>
        <w:pStyle w:val="ListParagraph"/>
        <w:numPr>
          <w:ilvl w:val="0"/>
          <w:numId w:val="2"/>
        </w:numPr>
        <w:spacing w:before="40" w:after="40" w:line="360" w:lineRule="auto"/>
      </w:pPr>
      <w:r>
        <w:t>Monthly Tier 2B expenditures are reported to the Town Board at each regular meeting.</w:t>
      </w:r>
    </w:p>
    <w:p w14:paraId="4B791132" w14:textId="77777777" w:rsidR="00D278E7" w:rsidRDefault="00D278E7" w:rsidP="00575212">
      <w:pPr>
        <w:spacing w:before="60" w:line="360" w:lineRule="auto"/>
      </w:pPr>
    </w:p>
    <w:p w14:paraId="7E9577E3" w14:textId="6958C4F0" w:rsidR="00D278E7" w:rsidRDefault="00000000" w:rsidP="00575212">
      <w:pPr>
        <w:pStyle w:val="Heading2"/>
        <w:spacing w:before="120" w:line="360" w:lineRule="auto"/>
      </w:pPr>
      <w:r>
        <w:rPr>
          <w:b w:val="0"/>
          <w:bCs w:val="0"/>
          <w:color w:val="000000"/>
          <w:sz w:val="20"/>
          <w:szCs w:val="20"/>
        </w:rPr>
        <w:t>4.4  Tier 3: Board Pre-Approval Required (Over $</w:t>
      </w:r>
      <w:r w:rsidR="00971DA1">
        <w:rPr>
          <w:b w:val="0"/>
          <w:bCs w:val="0"/>
          <w:color w:val="000000"/>
          <w:sz w:val="20"/>
          <w:szCs w:val="20"/>
        </w:rPr>
        <w:t>1</w:t>
      </w:r>
      <w:r>
        <w:rPr>
          <w:b w:val="0"/>
          <w:bCs w:val="0"/>
          <w:color w:val="000000"/>
          <w:sz w:val="20"/>
          <w:szCs w:val="20"/>
        </w:rPr>
        <w:t>0,000)</w:t>
      </w:r>
    </w:p>
    <w:p w14:paraId="47253FAB" w14:textId="77777777" w:rsidR="00D278E7" w:rsidRDefault="00000000" w:rsidP="00575212">
      <w:pPr>
        <w:spacing w:before="60" w:after="40" w:line="360" w:lineRule="auto"/>
      </w:pPr>
      <w:r>
        <w:rPr>
          <w:color w:val="000000"/>
        </w:rPr>
        <w:t>Authorized personnel: Town Board via resolution.</w:t>
      </w:r>
    </w:p>
    <w:p w14:paraId="7B0854DD" w14:textId="39494BC8" w:rsidR="00D278E7" w:rsidRDefault="00000000" w:rsidP="00575212">
      <w:pPr>
        <w:spacing w:before="120" w:after="60" w:line="360" w:lineRule="auto"/>
      </w:pPr>
      <w:r>
        <w:rPr>
          <w:color w:val="000000"/>
        </w:rPr>
        <w:t>All purchases exceeding $</w:t>
      </w:r>
      <w:r w:rsidR="00971DA1">
        <w:rPr>
          <w:color w:val="000000"/>
        </w:rPr>
        <w:t>1</w:t>
      </w:r>
      <w:r>
        <w:rPr>
          <w:color w:val="000000"/>
        </w:rPr>
        <w:t>0,000 require prior Town Board approval. This threshold aligns with New York State General Municipal Law §103, which mandates competitive bidding for purchase contracts exceeding $20,000 and public works contracts exceeding $35,000.</w:t>
      </w:r>
    </w:p>
    <w:p w14:paraId="09ACA903" w14:textId="1A2ED9CE" w:rsidR="00D278E7" w:rsidRDefault="00000000" w:rsidP="00575212">
      <w:pPr>
        <w:pStyle w:val="ListParagraph"/>
        <w:numPr>
          <w:ilvl w:val="0"/>
          <w:numId w:val="2"/>
        </w:numPr>
        <w:spacing w:before="40" w:after="40" w:line="360" w:lineRule="auto"/>
      </w:pPr>
      <w:r>
        <w:t xml:space="preserve">The </w:t>
      </w:r>
      <w:r w:rsidR="00971DA1">
        <w:t>individual</w:t>
      </w:r>
      <w:r>
        <w:t xml:space="preserve"> prepares a written procurement request specifying vendor, scope, cost estimate, funding source, and necessity.</w:t>
      </w:r>
    </w:p>
    <w:p w14:paraId="3FDC7BFB" w14:textId="77777777" w:rsidR="00D278E7" w:rsidRDefault="00000000" w:rsidP="00575212">
      <w:pPr>
        <w:pStyle w:val="ListParagraph"/>
        <w:numPr>
          <w:ilvl w:val="0"/>
          <w:numId w:val="2"/>
        </w:numPr>
        <w:spacing w:before="40" w:after="40" w:line="360" w:lineRule="auto"/>
      </w:pPr>
      <w:r>
        <w:t>The Town Board passes a resolution authorizing the expenditure prior to any commitment.</w:t>
      </w:r>
    </w:p>
    <w:p w14:paraId="088D2640" w14:textId="77777777" w:rsidR="00D278E7" w:rsidRDefault="00000000" w:rsidP="00575212">
      <w:pPr>
        <w:pStyle w:val="ListParagraph"/>
        <w:numPr>
          <w:ilvl w:val="0"/>
          <w:numId w:val="2"/>
        </w:numPr>
        <w:spacing w:before="40" w:after="40" w:line="360" w:lineRule="auto"/>
      </w:pPr>
      <w:r>
        <w:t>All GML §103 bidding requirements apply. Purchases under state contract (OGS or county cooperative) satisfy the bidding requirement and must be documented accordingly.</w:t>
      </w:r>
    </w:p>
    <w:p w14:paraId="2A012577" w14:textId="77777777" w:rsidR="00D278E7" w:rsidRDefault="00000000" w:rsidP="00575212">
      <w:pPr>
        <w:pStyle w:val="ListParagraph"/>
        <w:numPr>
          <w:ilvl w:val="0"/>
          <w:numId w:val="2"/>
        </w:numPr>
        <w:spacing w:before="40" w:after="40" w:line="360" w:lineRule="auto"/>
      </w:pPr>
      <w:r>
        <w:t>Capital equipment purchases require Board approval regardless of dollar amount and must be budgeted in the annual capital plan or a supplemental appropriation.</w:t>
      </w:r>
    </w:p>
    <w:p w14:paraId="09071343" w14:textId="77777777" w:rsidR="00D278E7" w:rsidRDefault="00D278E7" w:rsidP="00575212">
      <w:pPr>
        <w:spacing w:before="80" w:line="360" w:lineRule="auto"/>
      </w:pPr>
    </w:p>
    <w:p w14:paraId="6F7A9A53" w14:textId="77777777" w:rsidR="00D278E7" w:rsidRDefault="00D278E7" w:rsidP="00575212">
      <w:pPr>
        <w:pBdr>
          <w:bottom w:val="single" w:sz="6" w:space="1" w:color="2E5FA3"/>
        </w:pBdr>
        <w:spacing w:before="120" w:after="60" w:line="360" w:lineRule="auto"/>
      </w:pPr>
    </w:p>
    <w:p w14:paraId="4D7F49B4" w14:textId="77777777" w:rsidR="00D278E7" w:rsidRDefault="00000000" w:rsidP="00575212">
      <w:pPr>
        <w:pStyle w:val="Heading1"/>
        <w:spacing w:before="120" w:after="80" w:line="360" w:lineRule="auto"/>
      </w:pPr>
      <w:r>
        <w:rPr>
          <w:b w:val="0"/>
          <w:bCs w:val="0"/>
          <w:color w:val="000000"/>
          <w:sz w:val="20"/>
          <w:szCs w:val="20"/>
        </w:rPr>
        <w:t>5.  EMERGENCY PURCHASES</w:t>
      </w:r>
    </w:p>
    <w:p w14:paraId="273B596E" w14:textId="7CB07574" w:rsidR="00D278E7" w:rsidRDefault="00000000" w:rsidP="00575212">
      <w:pPr>
        <w:spacing w:before="80" w:after="60" w:line="360" w:lineRule="auto"/>
      </w:pPr>
      <w:r>
        <w:rPr>
          <w:color w:val="000000"/>
        </w:rPr>
        <w:t xml:space="preserve">An emergency purchase is defined as a procurement required to prevent an immediate threat to public safety, protect public infrastructure from material damage, or restore essential highway services. The </w:t>
      </w:r>
      <w:r w:rsidR="00971DA1">
        <w:rPr>
          <w:color w:val="000000"/>
        </w:rPr>
        <w:t>department head</w:t>
      </w:r>
      <w:r>
        <w:rPr>
          <w:color w:val="000000"/>
        </w:rPr>
        <w:t xml:space="preserve"> has emergency purchase authority up to $</w:t>
      </w:r>
      <w:r w:rsidR="00971DA1">
        <w:rPr>
          <w:color w:val="000000"/>
        </w:rPr>
        <w:t>1</w:t>
      </w:r>
      <w:r>
        <w:rPr>
          <w:color w:val="000000"/>
        </w:rPr>
        <w:t>0,000 without prior Board approval, subject to all of the following conditions:</w:t>
      </w:r>
    </w:p>
    <w:p w14:paraId="2AE29F0A" w14:textId="77777777" w:rsidR="00D278E7" w:rsidRDefault="00000000" w:rsidP="00575212">
      <w:pPr>
        <w:pStyle w:val="ListParagraph"/>
        <w:numPr>
          <w:ilvl w:val="0"/>
          <w:numId w:val="2"/>
        </w:numPr>
        <w:spacing w:before="40" w:after="40" w:line="360" w:lineRule="auto"/>
      </w:pPr>
      <w:r>
        <w:t>The Superintendent provides written notification to the Town Supervisor within four (4) business hours of the commitment (email acceptable).</w:t>
      </w:r>
    </w:p>
    <w:p w14:paraId="52FC0073" w14:textId="77777777" w:rsidR="00D278E7" w:rsidRDefault="00000000" w:rsidP="00575212">
      <w:pPr>
        <w:pStyle w:val="ListParagraph"/>
        <w:numPr>
          <w:ilvl w:val="0"/>
          <w:numId w:val="2"/>
        </w:numPr>
        <w:spacing w:before="40" w:after="40" w:line="360" w:lineRule="auto"/>
      </w:pPr>
      <w:r>
        <w:t>A detailed written explanation of the emergency, the vendor selected, and the cost is filed with the Town Clerk.</w:t>
      </w:r>
    </w:p>
    <w:p w14:paraId="28AA1000" w14:textId="77777777" w:rsidR="00D278E7" w:rsidRDefault="00000000" w:rsidP="00575212">
      <w:pPr>
        <w:pStyle w:val="ListParagraph"/>
        <w:numPr>
          <w:ilvl w:val="0"/>
          <w:numId w:val="2"/>
        </w:numPr>
        <w:spacing w:before="40" w:after="40" w:line="360" w:lineRule="auto"/>
      </w:pPr>
      <w:r>
        <w:t>The purchase is presented for formal Board ratification at the next scheduled Board meeting. Ratification may not be withheld for purchases that legitimately qualified as emergencies.</w:t>
      </w:r>
    </w:p>
    <w:p w14:paraId="1F3489C6" w14:textId="77777777" w:rsidR="00D278E7" w:rsidRDefault="00000000" w:rsidP="00575212">
      <w:pPr>
        <w:pStyle w:val="ListParagraph"/>
        <w:numPr>
          <w:ilvl w:val="0"/>
          <w:numId w:val="2"/>
        </w:numPr>
        <w:spacing w:before="40" w:after="40" w:line="360" w:lineRule="auto"/>
      </w:pPr>
      <w:r>
        <w:t>Emergency purchases may not be used to circumvent competitive requirements for planned or recurring purchases.</w:t>
      </w:r>
    </w:p>
    <w:p w14:paraId="3D962621" w14:textId="77777777" w:rsidR="00D278E7" w:rsidRDefault="00D278E7" w:rsidP="00575212">
      <w:pPr>
        <w:spacing w:before="80" w:line="360" w:lineRule="auto"/>
      </w:pPr>
    </w:p>
    <w:p w14:paraId="4441987B" w14:textId="77777777" w:rsidR="00D278E7" w:rsidRDefault="00D278E7" w:rsidP="00575212">
      <w:pPr>
        <w:pBdr>
          <w:bottom w:val="single" w:sz="6" w:space="1" w:color="2E5FA3"/>
        </w:pBdr>
        <w:spacing w:before="120" w:after="60" w:line="360" w:lineRule="auto"/>
      </w:pPr>
    </w:p>
    <w:p w14:paraId="23836E04" w14:textId="77777777" w:rsidR="00D278E7" w:rsidRDefault="00000000" w:rsidP="00575212">
      <w:pPr>
        <w:pStyle w:val="Heading1"/>
        <w:spacing w:before="120" w:after="80" w:line="360" w:lineRule="auto"/>
      </w:pPr>
      <w:r>
        <w:rPr>
          <w:b w:val="0"/>
          <w:bCs w:val="0"/>
          <w:color w:val="000000"/>
          <w:sz w:val="20"/>
          <w:szCs w:val="20"/>
        </w:rPr>
        <w:t>6.  CREDIT CARD (PURCHASING CARD) POLICY</w:t>
      </w:r>
    </w:p>
    <w:p w14:paraId="0420664D" w14:textId="1C2281E6" w:rsidR="00D278E7" w:rsidRDefault="00971DA1" w:rsidP="00575212">
      <w:pPr>
        <w:spacing w:before="80" w:after="100" w:line="360" w:lineRule="auto"/>
      </w:pPr>
      <w:r>
        <w:rPr>
          <w:color w:val="000000"/>
        </w:rPr>
        <w:t>Toan of Mendon</w:t>
      </w:r>
      <w:r w:rsidR="00000000">
        <w:rPr>
          <w:color w:val="000000"/>
        </w:rPr>
        <w:t xml:space="preserve"> credit cards are a convenience tool for low-dollar operational purchases. The following limits apply: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D278E7" w14:paraId="56E5CB2B" w14:textId="77777777">
        <w:tblPrEx>
          <w:tblCellMar>
            <w:top w:w="0" w:type="dxa"/>
            <w:bottom w:w="0" w:type="dxa"/>
          </w:tblCellMar>
        </w:tblPrEx>
        <w:trPr>
          <w:tblHeader/>
        </w:trPr>
        <w:tc>
          <w:tcPr>
            <w:tcW w:w="3120" w:type="dxa"/>
            <w:tcBorders>
              <w:top w:val="single" w:sz="4" w:space="0" w:color="2E5FA3"/>
              <w:left w:val="single" w:sz="4" w:space="0" w:color="2E5FA3"/>
              <w:bottom w:val="single" w:sz="4" w:space="0" w:color="2E5FA3"/>
              <w:right w:val="single" w:sz="4" w:space="0" w:color="2E5FA3"/>
            </w:tcBorders>
            <w:shd w:val="clear" w:color="auto" w:fill="1F3864"/>
            <w:tcMar>
              <w:top w:w="100" w:type="dxa"/>
              <w:left w:w="120" w:type="dxa"/>
              <w:bottom w:w="100" w:type="dxa"/>
              <w:right w:w="120" w:type="dxa"/>
            </w:tcMar>
          </w:tcPr>
          <w:p w14:paraId="6A013917" w14:textId="77777777" w:rsidR="00D278E7" w:rsidRDefault="00000000" w:rsidP="00575212">
            <w:pPr>
              <w:spacing w:line="360" w:lineRule="auto"/>
              <w:jc w:val="center"/>
            </w:pPr>
            <w:r>
              <w:rPr>
                <w:b/>
                <w:bCs/>
                <w:color w:val="FFFFFF"/>
              </w:rPr>
              <w:t>Cardholder</w:t>
            </w:r>
          </w:p>
        </w:tc>
        <w:tc>
          <w:tcPr>
            <w:tcW w:w="3120" w:type="dxa"/>
            <w:tcBorders>
              <w:top w:val="single" w:sz="4" w:space="0" w:color="2E5FA3"/>
              <w:left w:val="single" w:sz="4" w:space="0" w:color="2E5FA3"/>
              <w:bottom w:val="single" w:sz="4" w:space="0" w:color="2E5FA3"/>
              <w:right w:val="single" w:sz="4" w:space="0" w:color="2E5FA3"/>
            </w:tcBorders>
            <w:shd w:val="clear" w:color="auto" w:fill="1F3864"/>
            <w:tcMar>
              <w:top w:w="100" w:type="dxa"/>
              <w:left w:w="120" w:type="dxa"/>
              <w:bottom w:w="100" w:type="dxa"/>
              <w:right w:w="120" w:type="dxa"/>
            </w:tcMar>
          </w:tcPr>
          <w:p w14:paraId="4BF80C22" w14:textId="77777777" w:rsidR="00D278E7" w:rsidRDefault="00000000" w:rsidP="00575212">
            <w:pPr>
              <w:spacing w:line="360" w:lineRule="auto"/>
              <w:jc w:val="center"/>
            </w:pPr>
            <w:r>
              <w:rPr>
                <w:b/>
                <w:bCs/>
                <w:color w:val="FFFFFF"/>
              </w:rPr>
              <w:t>Per-Transaction Limit</w:t>
            </w:r>
          </w:p>
        </w:tc>
        <w:tc>
          <w:tcPr>
            <w:tcW w:w="3120" w:type="dxa"/>
            <w:tcBorders>
              <w:top w:val="single" w:sz="4" w:space="0" w:color="2E5FA3"/>
              <w:left w:val="single" w:sz="4" w:space="0" w:color="2E5FA3"/>
              <w:bottom w:val="single" w:sz="4" w:space="0" w:color="2E5FA3"/>
              <w:right w:val="single" w:sz="4" w:space="0" w:color="2E5FA3"/>
            </w:tcBorders>
            <w:shd w:val="clear" w:color="auto" w:fill="1F3864"/>
            <w:tcMar>
              <w:top w:w="100" w:type="dxa"/>
              <w:left w:w="120" w:type="dxa"/>
              <w:bottom w:w="100" w:type="dxa"/>
              <w:right w:w="120" w:type="dxa"/>
            </w:tcMar>
          </w:tcPr>
          <w:p w14:paraId="05F659F5" w14:textId="77777777" w:rsidR="00D278E7" w:rsidRDefault="00000000" w:rsidP="00575212">
            <w:pPr>
              <w:spacing w:line="360" w:lineRule="auto"/>
              <w:jc w:val="center"/>
            </w:pPr>
            <w:r>
              <w:rPr>
                <w:b/>
                <w:bCs/>
                <w:color w:val="FFFFFF"/>
              </w:rPr>
              <w:t>Monthly Limit</w:t>
            </w:r>
          </w:p>
        </w:tc>
      </w:tr>
      <w:tr w:rsidR="00D278E7" w14:paraId="40D35CAE" w14:textId="77777777">
        <w:tblPrEx>
          <w:tblCellMar>
            <w:top w:w="0" w:type="dxa"/>
            <w:bottom w:w="0" w:type="dxa"/>
          </w:tblCellMar>
        </w:tblPrEx>
        <w:tc>
          <w:tcPr>
            <w:tcW w:w="312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20" w:type="dxa"/>
              <w:bottom w:w="100" w:type="dxa"/>
              <w:right w:w="120" w:type="dxa"/>
            </w:tcMar>
            <w:vAlign w:val="center"/>
          </w:tcPr>
          <w:p w14:paraId="48B00F2E" w14:textId="37A80C6E" w:rsidR="00D278E7" w:rsidRDefault="00D278E7" w:rsidP="00575212">
            <w:pPr>
              <w:spacing w:line="360" w:lineRule="auto"/>
            </w:pPr>
          </w:p>
        </w:tc>
        <w:tc>
          <w:tcPr>
            <w:tcW w:w="312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20" w:type="dxa"/>
              <w:bottom w:w="100" w:type="dxa"/>
              <w:right w:w="120" w:type="dxa"/>
            </w:tcMar>
            <w:vAlign w:val="center"/>
          </w:tcPr>
          <w:p w14:paraId="25433A65" w14:textId="6E6BC66C" w:rsidR="00D278E7" w:rsidRDefault="00D278E7" w:rsidP="00575212">
            <w:pPr>
              <w:spacing w:line="360" w:lineRule="auto"/>
              <w:jc w:val="center"/>
            </w:pPr>
          </w:p>
        </w:tc>
        <w:tc>
          <w:tcPr>
            <w:tcW w:w="312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20" w:type="dxa"/>
              <w:bottom w:w="100" w:type="dxa"/>
              <w:right w:w="120" w:type="dxa"/>
            </w:tcMar>
            <w:vAlign w:val="center"/>
          </w:tcPr>
          <w:p w14:paraId="1F23F0A3" w14:textId="1896DB67" w:rsidR="00D278E7" w:rsidRDefault="00D278E7" w:rsidP="00575212">
            <w:pPr>
              <w:spacing w:line="360" w:lineRule="auto"/>
              <w:jc w:val="center"/>
            </w:pPr>
          </w:p>
        </w:tc>
      </w:tr>
      <w:tr w:rsidR="00D278E7" w14:paraId="3D77013E" w14:textId="77777777">
        <w:tblPrEx>
          <w:tblCellMar>
            <w:top w:w="0" w:type="dxa"/>
            <w:bottom w:w="0" w:type="dxa"/>
          </w:tblCellMar>
        </w:tblPrEx>
        <w:tc>
          <w:tcPr>
            <w:tcW w:w="3120" w:type="dxa"/>
            <w:tcBorders>
              <w:top w:val="single" w:sz="4" w:space="0" w:color="CCCCCC"/>
              <w:left w:val="single" w:sz="4" w:space="0" w:color="CCCCCC"/>
              <w:bottom w:val="single" w:sz="4" w:space="0" w:color="CCCCCC"/>
              <w:right w:val="single" w:sz="4" w:space="0" w:color="CCCCCC"/>
            </w:tcBorders>
            <w:shd w:val="clear" w:color="auto" w:fill="D6E4F7"/>
            <w:tcMar>
              <w:top w:w="100" w:type="dxa"/>
              <w:left w:w="120" w:type="dxa"/>
              <w:bottom w:w="100" w:type="dxa"/>
              <w:right w:w="120" w:type="dxa"/>
            </w:tcMar>
            <w:vAlign w:val="center"/>
          </w:tcPr>
          <w:p w14:paraId="07975349" w14:textId="56FC3417" w:rsidR="00D278E7" w:rsidRDefault="00000000" w:rsidP="00575212">
            <w:pPr>
              <w:spacing w:line="360" w:lineRule="auto"/>
            </w:pPr>
            <w:r>
              <w:rPr>
                <w:color w:val="000000"/>
              </w:rPr>
              <w:t xml:space="preserve">Supervisor </w:t>
            </w:r>
          </w:p>
        </w:tc>
        <w:tc>
          <w:tcPr>
            <w:tcW w:w="3120" w:type="dxa"/>
            <w:tcBorders>
              <w:top w:val="single" w:sz="4" w:space="0" w:color="CCCCCC"/>
              <w:left w:val="single" w:sz="4" w:space="0" w:color="CCCCCC"/>
              <w:bottom w:val="single" w:sz="4" w:space="0" w:color="CCCCCC"/>
              <w:right w:val="single" w:sz="4" w:space="0" w:color="CCCCCC"/>
            </w:tcBorders>
            <w:shd w:val="clear" w:color="auto" w:fill="D6E4F7"/>
            <w:tcMar>
              <w:top w:w="100" w:type="dxa"/>
              <w:left w:w="120" w:type="dxa"/>
              <w:bottom w:w="100" w:type="dxa"/>
              <w:right w:w="120" w:type="dxa"/>
            </w:tcMar>
            <w:vAlign w:val="center"/>
          </w:tcPr>
          <w:p w14:paraId="5362C35A" w14:textId="77777777" w:rsidR="00D278E7" w:rsidRDefault="00000000" w:rsidP="00575212">
            <w:pPr>
              <w:spacing w:line="360" w:lineRule="auto"/>
              <w:jc w:val="center"/>
            </w:pPr>
            <w:r>
              <w:rPr>
                <w:color w:val="000000"/>
              </w:rPr>
              <w:t>$2,500</w:t>
            </w:r>
          </w:p>
        </w:tc>
        <w:tc>
          <w:tcPr>
            <w:tcW w:w="3120" w:type="dxa"/>
            <w:tcBorders>
              <w:top w:val="single" w:sz="4" w:space="0" w:color="CCCCCC"/>
              <w:left w:val="single" w:sz="4" w:space="0" w:color="CCCCCC"/>
              <w:bottom w:val="single" w:sz="4" w:space="0" w:color="CCCCCC"/>
              <w:right w:val="single" w:sz="4" w:space="0" w:color="CCCCCC"/>
            </w:tcBorders>
            <w:shd w:val="clear" w:color="auto" w:fill="D6E4F7"/>
            <w:tcMar>
              <w:top w:w="100" w:type="dxa"/>
              <w:left w:w="120" w:type="dxa"/>
              <w:bottom w:w="100" w:type="dxa"/>
              <w:right w:w="120" w:type="dxa"/>
            </w:tcMar>
            <w:vAlign w:val="center"/>
          </w:tcPr>
          <w:p w14:paraId="0EED3781" w14:textId="77777777" w:rsidR="00D278E7" w:rsidRDefault="00000000" w:rsidP="00575212">
            <w:pPr>
              <w:spacing w:line="360" w:lineRule="auto"/>
              <w:jc w:val="center"/>
            </w:pPr>
            <w:r>
              <w:rPr>
                <w:color w:val="000000"/>
              </w:rPr>
              <w:t>$5,000</w:t>
            </w:r>
          </w:p>
        </w:tc>
      </w:tr>
      <w:tr w:rsidR="00D278E7" w14:paraId="359E7B65" w14:textId="77777777">
        <w:tblPrEx>
          <w:tblCellMar>
            <w:top w:w="0" w:type="dxa"/>
            <w:bottom w:w="0" w:type="dxa"/>
          </w:tblCellMar>
        </w:tblPrEx>
        <w:tc>
          <w:tcPr>
            <w:tcW w:w="312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20" w:type="dxa"/>
              <w:bottom w:w="100" w:type="dxa"/>
              <w:right w:w="120" w:type="dxa"/>
            </w:tcMar>
            <w:vAlign w:val="center"/>
          </w:tcPr>
          <w:p w14:paraId="197775E7" w14:textId="6FE29290" w:rsidR="00D278E7" w:rsidRDefault="00971DA1" w:rsidP="00575212">
            <w:pPr>
              <w:spacing w:line="360" w:lineRule="auto"/>
            </w:pPr>
            <w:r>
              <w:rPr>
                <w:color w:val="000000"/>
              </w:rPr>
              <w:t>Department Head</w:t>
            </w:r>
          </w:p>
        </w:tc>
        <w:tc>
          <w:tcPr>
            <w:tcW w:w="312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20" w:type="dxa"/>
              <w:bottom w:w="100" w:type="dxa"/>
              <w:right w:w="120" w:type="dxa"/>
            </w:tcMar>
            <w:vAlign w:val="center"/>
          </w:tcPr>
          <w:p w14:paraId="16F2D23F" w14:textId="77777777" w:rsidR="00D278E7" w:rsidRDefault="00000000" w:rsidP="00575212">
            <w:pPr>
              <w:spacing w:line="360" w:lineRule="auto"/>
              <w:jc w:val="center"/>
            </w:pPr>
            <w:r>
              <w:rPr>
                <w:color w:val="000000"/>
              </w:rPr>
              <w:t>$5,000</w:t>
            </w:r>
          </w:p>
        </w:tc>
        <w:tc>
          <w:tcPr>
            <w:tcW w:w="312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20" w:type="dxa"/>
              <w:bottom w:w="100" w:type="dxa"/>
              <w:right w:w="120" w:type="dxa"/>
            </w:tcMar>
            <w:vAlign w:val="center"/>
          </w:tcPr>
          <w:p w14:paraId="7C787E9E" w14:textId="77777777" w:rsidR="00D278E7" w:rsidRDefault="00000000" w:rsidP="00575212">
            <w:pPr>
              <w:spacing w:line="360" w:lineRule="auto"/>
              <w:jc w:val="center"/>
            </w:pPr>
            <w:r>
              <w:rPr>
                <w:color w:val="000000"/>
              </w:rPr>
              <w:t>$10,000</w:t>
            </w:r>
          </w:p>
        </w:tc>
      </w:tr>
    </w:tbl>
    <w:p w14:paraId="1BF09F3F" w14:textId="77777777" w:rsidR="00D278E7" w:rsidRDefault="00D278E7" w:rsidP="00575212">
      <w:pPr>
        <w:spacing w:before="80" w:line="360" w:lineRule="auto"/>
      </w:pPr>
    </w:p>
    <w:p w14:paraId="7919E749" w14:textId="77777777" w:rsidR="00D278E7" w:rsidRDefault="00000000" w:rsidP="00575212">
      <w:pPr>
        <w:spacing w:before="80" w:after="40" w:line="360" w:lineRule="auto"/>
      </w:pPr>
      <w:r>
        <w:rPr>
          <w:b/>
          <w:bCs/>
          <w:color w:val="000000"/>
        </w:rPr>
        <w:t>All cardholders must:</w:t>
      </w:r>
    </w:p>
    <w:p w14:paraId="71CACC95" w14:textId="77777777" w:rsidR="00D278E7" w:rsidRDefault="00000000" w:rsidP="00575212">
      <w:pPr>
        <w:pStyle w:val="ListParagraph"/>
        <w:numPr>
          <w:ilvl w:val="0"/>
          <w:numId w:val="2"/>
        </w:numPr>
        <w:spacing w:before="40" w:after="40" w:line="360" w:lineRule="auto"/>
      </w:pPr>
      <w:r>
        <w:t>Submit itemized receipts with account coding to the Highway Superintendent within two (2) business days of each purchase.</w:t>
      </w:r>
    </w:p>
    <w:p w14:paraId="0C177415" w14:textId="77777777" w:rsidR="00D278E7" w:rsidRDefault="00000000" w:rsidP="00575212">
      <w:pPr>
        <w:pStyle w:val="ListParagraph"/>
        <w:numPr>
          <w:ilvl w:val="0"/>
          <w:numId w:val="2"/>
        </w:numPr>
        <w:spacing w:before="40" w:after="40" w:line="360" w:lineRule="auto"/>
      </w:pPr>
      <w:r>
        <w:t>Ensure each transaction is within the applicable Tier 1 or Tier 2A authority limit.</w:t>
      </w:r>
    </w:p>
    <w:p w14:paraId="7ACCF828" w14:textId="77777777" w:rsidR="00D278E7" w:rsidRDefault="00000000" w:rsidP="00575212">
      <w:pPr>
        <w:pStyle w:val="ListParagraph"/>
        <w:numPr>
          <w:ilvl w:val="0"/>
          <w:numId w:val="2"/>
        </w:numPr>
        <w:spacing w:before="40" w:after="40" w:line="360" w:lineRule="auto"/>
      </w:pPr>
      <w:r>
        <w:t>Never use department credit cards for personal purchases. Misuse will result in immediate card revocation and may result in disciplinary action.</w:t>
      </w:r>
    </w:p>
    <w:p w14:paraId="24590F05" w14:textId="77777777" w:rsidR="00D278E7" w:rsidRDefault="00000000" w:rsidP="00575212">
      <w:pPr>
        <w:pStyle w:val="ListParagraph"/>
        <w:numPr>
          <w:ilvl w:val="0"/>
          <w:numId w:val="2"/>
        </w:numPr>
        <w:spacing w:before="40" w:after="40" w:line="360" w:lineRule="auto"/>
      </w:pPr>
      <w:r>
        <w:t>Card accounts are reviewed monthly by the Highway Superintendent and included in each voucher abstract presented to the Board.</w:t>
      </w:r>
    </w:p>
    <w:p w14:paraId="07A1E94B" w14:textId="77777777" w:rsidR="00D278E7" w:rsidRDefault="00D278E7" w:rsidP="00575212">
      <w:pPr>
        <w:spacing w:before="80" w:line="360" w:lineRule="auto"/>
      </w:pPr>
    </w:p>
    <w:p w14:paraId="697F97BE" w14:textId="77777777" w:rsidR="00D278E7" w:rsidRDefault="00D278E7" w:rsidP="00575212">
      <w:pPr>
        <w:pBdr>
          <w:bottom w:val="single" w:sz="6" w:space="1" w:color="2E5FA3"/>
        </w:pBdr>
        <w:spacing w:before="120" w:after="60" w:line="360" w:lineRule="auto"/>
      </w:pPr>
    </w:p>
    <w:p w14:paraId="6373AAE3" w14:textId="77777777" w:rsidR="00D278E7" w:rsidRDefault="00D278E7" w:rsidP="00575212">
      <w:pPr>
        <w:pBdr>
          <w:bottom w:val="single" w:sz="6" w:space="1" w:color="2E5FA3"/>
        </w:pBdr>
        <w:spacing w:before="120" w:after="60" w:line="360" w:lineRule="auto"/>
      </w:pPr>
    </w:p>
    <w:p w14:paraId="676FA5D9" w14:textId="23D0114A" w:rsidR="00D278E7" w:rsidRDefault="00971DA1" w:rsidP="00575212">
      <w:pPr>
        <w:pStyle w:val="Heading1"/>
        <w:spacing w:before="120" w:after="80" w:line="360" w:lineRule="auto"/>
      </w:pPr>
      <w:r>
        <w:rPr>
          <w:b w:val="0"/>
          <w:bCs w:val="0"/>
          <w:color w:val="000000"/>
          <w:sz w:val="20"/>
          <w:szCs w:val="20"/>
        </w:rPr>
        <w:t>7</w:t>
      </w:r>
      <w:r w:rsidR="00000000">
        <w:rPr>
          <w:b w:val="0"/>
          <w:bCs w:val="0"/>
          <w:color w:val="000000"/>
          <w:sz w:val="20"/>
          <w:szCs w:val="20"/>
        </w:rPr>
        <w:t>.  BUDGET MONITORING AND REPORTING</w:t>
      </w:r>
    </w:p>
    <w:p w14:paraId="413A5870" w14:textId="7009B7DC" w:rsidR="00D278E7" w:rsidRDefault="00000000" w:rsidP="00575212">
      <w:pPr>
        <w:spacing w:before="80" w:after="60" w:line="360" w:lineRule="auto"/>
      </w:pPr>
      <w:r>
        <w:rPr>
          <w:color w:val="000000"/>
        </w:rPr>
        <w:t xml:space="preserve">Budget compliance is a shared responsibility between the </w:t>
      </w:r>
      <w:r w:rsidR="00971DA1">
        <w:rPr>
          <w:color w:val="000000"/>
        </w:rPr>
        <w:t>departments</w:t>
      </w:r>
      <w:r>
        <w:rPr>
          <w:color w:val="000000"/>
        </w:rPr>
        <w:t xml:space="preserve"> and the </w:t>
      </w:r>
      <w:r w:rsidR="00971DA1">
        <w:rPr>
          <w:color w:val="000000"/>
        </w:rPr>
        <w:t xml:space="preserve">Mendon </w:t>
      </w:r>
      <w:r>
        <w:rPr>
          <w:color w:val="000000"/>
        </w:rPr>
        <w:t>Town Board. The following controls apply:</w:t>
      </w:r>
    </w:p>
    <w:p w14:paraId="765F9C06" w14:textId="564E1A9D" w:rsidR="00D278E7" w:rsidRDefault="00971DA1" w:rsidP="00575212">
      <w:pPr>
        <w:pStyle w:val="ListParagraph"/>
        <w:numPr>
          <w:ilvl w:val="0"/>
          <w:numId w:val="2"/>
        </w:numPr>
        <w:spacing w:before="40" w:after="40" w:line="360" w:lineRule="auto"/>
      </w:pPr>
      <w:r>
        <w:t>Department heads</w:t>
      </w:r>
      <w:r w:rsidR="00000000">
        <w:t xml:space="preserve"> will review budget-line balances before committing any purchase in Tier 2B or Tier 3.</w:t>
      </w:r>
    </w:p>
    <w:p w14:paraId="4CF17C21" w14:textId="77777777" w:rsidR="00D278E7" w:rsidRDefault="00000000" w:rsidP="00575212">
      <w:pPr>
        <w:pStyle w:val="ListParagraph"/>
        <w:numPr>
          <w:ilvl w:val="0"/>
          <w:numId w:val="2"/>
        </w:numPr>
        <w:spacing w:before="40" w:after="40" w:line="360" w:lineRule="auto"/>
      </w:pPr>
      <w:r>
        <w:t>A monthly expenditure summary by budget line will be presented to the Board alongside each voucher abstract.</w:t>
      </w:r>
    </w:p>
    <w:p w14:paraId="6733D1D5" w14:textId="5556CEEE" w:rsidR="00D278E7" w:rsidRDefault="00000000" w:rsidP="00575212">
      <w:pPr>
        <w:pStyle w:val="ListParagraph"/>
        <w:numPr>
          <w:ilvl w:val="0"/>
          <w:numId w:val="2"/>
        </w:numPr>
        <w:spacing w:before="40" w:after="40" w:line="360" w:lineRule="auto"/>
      </w:pPr>
      <w:r>
        <w:t xml:space="preserve">The </w:t>
      </w:r>
      <w:r w:rsidR="00971DA1">
        <w:t>department head</w:t>
      </w:r>
      <w:r>
        <w:t xml:space="preserve"> will notify the Town Board in writing when any individual budget line reaches 75% of its appropriated amount for the fiscal year.</w:t>
      </w:r>
    </w:p>
    <w:p w14:paraId="4A05BC09" w14:textId="77777777" w:rsidR="00D278E7" w:rsidRDefault="00000000" w:rsidP="00575212">
      <w:pPr>
        <w:pStyle w:val="ListParagraph"/>
        <w:numPr>
          <w:ilvl w:val="0"/>
          <w:numId w:val="2"/>
        </w:numPr>
        <w:spacing w:before="40" w:after="40" w:line="360" w:lineRule="auto"/>
      </w:pPr>
      <w:r>
        <w:t>All budget transfers or supplemental appropriations required to cover unplanned spending require a Board resolution.</w:t>
      </w:r>
    </w:p>
    <w:p w14:paraId="590B6F13" w14:textId="77777777" w:rsidR="00D278E7" w:rsidRDefault="00000000" w:rsidP="00575212">
      <w:pPr>
        <w:pStyle w:val="ListParagraph"/>
        <w:numPr>
          <w:ilvl w:val="0"/>
          <w:numId w:val="2"/>
        </w:numPr>
        <w:spacing w:before="40" w:after="40" w:line="360" w:lineRule="auto"/>
      </w:pPr>
      <w:r>
        <w:t>Year-end encumbrances must be reported to the Town Clerk and Board no later than December 15 of each fiscal year.</w:t>
      </w:r>
    </w:p>
    <w:p w14:paraId="26B10285" w14:textId="77777777" w:rsidR="00D278E7" w:rsidRDefault="00D278E7" w:rsidP="00575212">
      <w:pPr>
        <w:spacing w:before="80" w:line="360" w:lineRule="auto"/>
      </w:pPr>
    </w:p>
    <w:p w14:paraId="6FBA8141" w14:textId="77777777" w:rsidR="00D278E7" w:rsidRDefault="00D278E7" w:rsidP="00575212">
      <w:pPr>
        <w:pBdr>
          <w:bottom w:val="single" w:sz="6" w:space="1" w:color="2E5FA3"/>
        </w:pBdr>
        <w:spacing w:before="120" w:after="60" w:line="360" w:lineRule="auto"/>
      </w:pPr>
    </w:p>
    <w:p w14:paraId="60FD8BC1" w14:textId="792F0666" w:rsidR="00D278E7" w:rsidRDefault="00971DA1" w:rsidP="00575212">
      <w:pPr>
        <w:pStyle w:val="Heading1"/>
        <w:spacing w:before="120" w:after="80" w:line="360" w:lineRule="auto"/>
      </w:pPr>
      <w:r>
        <w:rPr>
          <w:b w:val="0"/>
          <w:bCs w:val="0"/>
          <w:color w:val="000000"/>
          <w:sz w:val="20"/>
          <w:szCs w:val="20"/>
        </w:rPr>
        <w:t>8</w:t>
      </w:r>
      <w:r w:rsidR="00000000">
        <w:rPr>
          <w:b w:val="0"/>
          <w:bCs w:val="0"/>
          <w:color w:val="000000"/>
          <w:sz w:val="20"/>
          <w:szCs w:val="20"/>
        </w:rPr>
        <w:t>.  PROHIBITED PRACTICES</w:t>
      </w:r>
    </w:p>
    <w:p w14:paraId="79E74FBD" w14:textId="77777777" w:rsidR="00D278E7" w:rsidRDefault="00000000" w:rsidP="00575212">
      <w:pPr>
        <w:spacing w:before="80" w:after="60" w:line="360" w:lineRule="auto"/>
      </w:pPr>
      <w:r>
        <w:rPr>
          <w:color w:val="000000"/>
        </w:rPr>
        <w:t>The following practices are expressly prohibited and may result in disciplinary action and personal financial liability:</w:t>
      </w:r>
    </w:p>
    <w:p w14:paraId="39EB03B1" w14:textId="77777777" w:rsidR="00D278E7" w:rsidRDefault="00000000" w:rsidP="00575212">
      <w:pPr>
        <w:pStyle w:val="ListParagraph"/>
        <w:numPr>
          <w:ilvl w:val="0"/>
          <w:numId w:val="2"/>
        </w:numPr>
        <w:spacing w:before="40" w:after="40" w:line="360" w:lineRule="auto"/>
      </w:pPr>
      <w:r>
        <w:t>Purchase splitting: Dividing a single purchase into multiple smaller transactions to avoid a higher authorization tier.</w:t>
      </w:r>
    </w:p>
    <w:p w14:paraId="059F114F" w14:textId="77777777" w:rsidR="00D278E7" w:rsidRDefault="00000000" w:rsidP="00575212">
      <w:pPr>
        <w:pStyle w:val="ListParagraph"/>
        <w:numPr>
          <w:ilvl w:val="0"/>
          <w:numId w:val="2"/>
        </w:numPr>
        <w:spacing w:before="40" w:after="40" w:line="360" w:lineRule="auto"/>
      </w:pPr>
      <w:r>
        <w:t>Personal benefit: Using department purchasing authority or credit cards for personal purchases.</w:t>
      </w:r>
    </w:p>
    <w:p w14:paraId="4267BED1" w14:textId="77777777" w:rsidR="00D278E7" w:rsidRDefault="00000000" w:rsidP="00575212">
      <w:pPr>
        <w:pStyle w:val="ListParagraph"/>
        <w:numPr>
          <w:ilvl w:val="0"/>
          <w:numId w:val="2"/>
        </w:numPr>
        <w:spacing w:before="40" w:after="40" w:line="360" w:lineRule="auto"/>
      </w:pPr>
      <w:r>
        <w:t>Sole-source abuse: Restricting specifications or vendor selection to avoid competitive requirements without documented justification.</w:t>
      </w:r>
    </w:p>
    <w:p w14:paraId="21103DD5" w14:textId="77777777" w:rsidR="00D278E7" w:rsidRDefault="00000000" w:rsidP="00575212">
      <w:pPr>
        <w:pStyle w:val="ListParagraph"/>
        <w:numPr>
          <w:ilvl w:val="0"/>
          <w:numId w:val="2"/>
        </w:numPr>
        <w:spacing w:before="40" w:after="40" w:line="360" w:lineRule="auto"/>
      </w:pPr>
      <w:r>
        <w:t>Conflict of interest: Purchasing from a vendor in which any employee or their immediate family member has a financial interest, without prior disclosure and Board approval.</w:t>
      </w:r>
    </w:p>
    <w:p w14:paraId="0720C90F" w14:textId="77777777" w:rsidR="00D278E7" w:rsidRDefault="00D278E7" w:rsidP="00575212">
      <w:pPr>
        <w:spacing w:before="80" w:line="360" w:lineRule="auto"/>
      </w:pPr>
    </w:p>
    <w:p w14:paraId="0FCDEC2A" w14:textId="77777777" w:rsidR="00D278E7" w:rsidRDefault="00D278E7" w:rsidP="00575212">
      <w:pPr>
        <w:pBdr>
          <w:bottom w:val="single" w:sz="6" w:space="1" w:color="2E5FA3"/>
        </w:pBdr>
        <w:spacing w:before="120" w:after="60" w:line="360" w:lineRule="auto"/>
      </w:pPr>
    </w:p>
    <w:p w14:paraId="69E9C512" w14:textId="1DDE3119" w:rsidR="00D278E7" w:rsidRDefault="00971DA1" w:rsidP="00575212">
      <w:pPr>
        <w:pStyle w:val="Heading1"/>
        <w:spacing w:before="120" w:after="80" w:line="360" w:lineRule="auto"/>
      </w:pPr>
      <w:r>
        <w:rPr>
          <w:b w:val="0"/>
          <w:bCs w:val="0"/>
          <w:color w:val="000000"/>
          <w:sz w:val="20"/>
          <w:szCs w:val="20"/>
        </w:rPr>
        <w:t>9</w:t>
      </w:r>
      <w:r w:rsidR="00000000">
        <w:rPr>
          <w:b w:val="0"/>
          <w:bCs w:val="0"/>
          <w:color w:val="000000"/>
          <w:sz w:val="20"/>
          <w:szCs w:val="20"/>
        </w:rPr>
        <w:t>.  POLICY ADMINISTRATION AND REVIEW</w:t>
      </w:r>
    </w:p>
    <w:p w14:paraId="483A3E1F" w14:textId="50AF590D" w:rsidR="00D278E7" w:rsidRDefault="00000000" w:rsidP="00575212">
      <w:pPr>
        <w:spacing w:before="80" w:after="60" w:line="360" w:lineRule="auto"/>
      </w:pPr>
      <w:r>
        <w:rPr>
          <w:color w:val="000000"/>
        </w:rPr>
        <w:t xml:space="preserve">This policy is adopted by Town Board resolution and supersedes all prior informal purchasing practices. The </w:t>
      </w:r>
      <w:r w:rsidR="00971DA1">
        <w:rPr>
          <w:color w:val="000000"/>
        </w:rPr>
        <w:t>department lead</w:t>
      </w:r>
      <w:r>
        <w:rPr>
          <w:color w:val="000000"/>
        </w:rPr>
        <w:t xml:space="preserve"> is responsible for communicating this policy to all department employees and ensuring compliance.</w:t>
      </w:r>
    </w:p>
    <w:p w14:paraId="7D6E0B64" w14:textId="77777777" w:rsidR="00D278E7" w:rsidRDefault="00000000" w:rsidP="00575212">
      <w:pPr>
        <w:pStyle w:val="ListParagraph"/>
        <w:numPr>
          <w:ilvl w:val="0"/>
          <w:numId w:val="2"/>
        </w:numPr>
        <w:spacing w:before="40" w:after="40" w:line="360" w:lineRule="auto"/>
      </w:pPr>
      <w:r>
        <w:t>This policy shall be reviewed annually at the Board's organizational meeting and updated as needed to reflect changes in operational patterns, GML thresholds, or Board priorities.</w:t>
      </w:r>
    </w:p>
    <w:p w14:paraId="01B7FD42" w14:textId="77777777" w:rsidR="00D278E7" w:rsidRDefault="00000000" w:rsidP="00575212">
      <w:pPr>
        <w:pStyle w:val="ListParagraph"/>
        <w:numPr>
          <w:ilvl w:val="0"/>
          <w:numId w:val="2"/>
        </w:numPr>
        <w:spacing w:before="40" w:after="40" w:line="360" w:lineRule="auto"/>
      </w:pPr>
      <w:r>
        <w:t>Questions of interpretation shall be resolved by the Highway Superintendent in consultation with the Town Attorney.</w:t>
      </w:r>
    </w:p>
    <w:p w14:paraId="0A7B7F42" w14:textId="77777777" w:rsidR="00D278E7" w:rsidRDefault="00000000" w:rsidP="00575212">
      <w:pPr>
        <w:pStyle w:val="ListParagraph"/>
        <w:numPr>
          <w:ilvl w:val="0"/>
          <w:numId w:val="2"/>
        </w:numPr>
        <w:spacing w:before="40" w:after="40" w:line="360" w:lineRule="auto"/>
      </w:pPr>
      <w:r>
        <w:t>Exceptions to any provision of this policy require written approval of the Town Board.</w:t>
      </w:r>
    </w:p>
    <w:p w14:paraId="7D2EFC6D" w14:textId="77777777" w:rsidR="000A5B64" w:rsidRDefault="000A5B64"/>
    <w:sectPr w:rsidR="000A5B64">
      <w:headerReference w:type="even" r:id="rId7"/>
      <w:headerReference w:type="default" r:id="rId8"/>
      <w:footerReference w:type="default" r:id="rId9"/>
      <w:headerReference w:type="first" r:id="rId10"/>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3DDC" w14:textId="77777777" w:rsidR="000A5B64" w:rsidRDefault="000A5B64">
      <w:r>
        <w:separator/>
      </w:r>
    </w:p>
  </w:endnote>
  <w:endnote w:type="continuationSeparator" w:id="0">
    <w:p w14:paraId="79AB6646" w14:textId="77777777" w:rsidR="000A5B64" w:rsidRDefault="000A5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25C48" w14:textId="5E2551E8" w:rsidR="00D278E7" w:rsidRPr="006D563A" w:rsidRDefault="00000000" w:rsidP="006D563A">
    <w:pPr>
      <w:pBdr>
        <w:top w:val="single" w:sz="4" w:space="1" w:color="CCCCCC"/>
      </w:pBdr>
      <w:spacing w:before="60"/>
      <w:jc w:val="center"/>
      <w:rPr>
        <w:color w:val="888888"/>
        <w:sz w:val="16"/>
        <w:szCs w:val="16"/>
      </w:rPr>
    </w:pPr>
    <w:r>
      <w:rPr>
        <w:color w:val="888888"/>
        <w:sz w:val="16"/>
        <w:szCs w:val="16"/>
      </w:rPr>
      <w:t xml:space="preserve">DRAFT - For Board Review and </w:t>
    </w:r>
    <w:r w:rsidR="006D563A">
      <w:rPr>
        <w:color w:val="888888"/>
        <w:sz w:val="16"/>
        <w:szCs w:val="16"/>
      </w:rPr>
      <w:t>Future A</w:t>
    </w:r>
    <w:r>
      <w:rPr>
        <w:color w:val="888888"/>
        <w:sz w:val="16"/>
        <w:szCs w:val="16"/>
      </w:rPr>
      <w:t xml:space="preserve">doption  |  Page </w:t>
    </w:r>
    <w:r>
      <w:fldChar w:fldCharType="begin"/>
    </w:r>
    <w:r>
      <w:instrText>PAGE</w:instrText>
    </w:r>
    <w:r>
      <w:fldChar w:fldCharType="separate"/>
    </w:r>
    <w:r w:rsidR="00A15BE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2B00B" w14:textId="77777777" w:rsidR="000A5B64" w:rsidRDefault="000A5B64">
      <w:r>
        <w:separator/>
      </w:r>
    </w:p>
  </w:footnote>
  <w:footnote w:type="continuationSeparator" w:id="0">
    <w:p w14:paraId="085DE8C4" w14:textId="77777777" w:rsidR="000A5B64" w:rsidRDefault="000A5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0EB2" w14:textId="5D28F03C" w:rsidR="00971DA1" w:rsidRDefault="00971DA1">
    <w:pPr>
      <w:pStyle w:val="Header"/>
    </w:pPr>
    <w:r>
      <w:rPr>
        <w:noProof/>
      </w:rPr>
      <mc:AlternateContent>
        <mc:Choice Requires="wps">
          <w:drawing>
            <wp:anchor distT="0" distB="0" distL="0" distR="0" simplePos="0" relativeHeight="251661312" behindDoc="0" locked="0" layoutInCell="1" allowOverlap="1" wp14:anchorId="06950F0F" wp14:editId="3CA6914D">
              <wp:simplePos x="635" y="635"/>
              <wp:positionH relativeFrom="page">
                <wp:align>center</wp:align>
              </wp:positionH>
              <wp:positionV relativeFrom="page">
                <wp:align>top</wp:align>
              </wp:positionV>
              <wp:extent cx="1020445" cy="361315"/>
              <wp:effectExtent l="0" t="0" r="8255" b="635"/>
              <wp:wrapNone/>
              <wp:docPr id="1107453404" name="Text Box 2" descr="C2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20445" cy="361315"/>
                      </a:xfrm>
                      <a:prstGeom prst="rect">
                        <a:avLst/>
                      </a:prstGeom>
                      <a:noFill/>
                      <a:ln>
                        <a:noFill/>
                      </a:ln>
                    </wps:spPr>
                    <wps:txbx>
                      <w:txbxContent>
                        <w:p w14:paraId="1AE9BDDC" w14:textId="1425694E" w:rsidR="00971DA1" w:rsidRPr="00971DA1" w:rsidRDefault="00971DA1" w:rsidP="00971DA1">
                          <w:pPr>
                            <w:rPr>
                              <w:rFonts w:ascii="Aptos" w:eastAsia="Aptos" w:hAnsi="Aptos" w:cs="Aptos"/>
                              <w:noProof/>
                              <w:color w:val="000000"/>
                              <w:sz w:val="22"/>
                              <w:szCs w:val="22"/>
                            </w:rPr>
                          </w:pPr>
                          <w:r w:rsidRPr="00971DA1">
                            <w:rPr>
                              <w:rFonts w:ascii="Aptos" w:eastAsia="Aptos" w:hAnsi="Aptos" w:cs="Aptos"/>
                              <w:noProof/>
                              <w:color w:val="000000"/>
                              <w:sz w:val="22"/>
                              <w:szCs w:val="22"/>
                            </w:rPr>
                            <w:t>C2 -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950F0F" id="_x0000_t202" coordsize="21600,21600" o:spt="202" path="m,l,21600r21600,l21600,xe">
              <v:stroke joinstyle="miter"/>
              <v:path gradientshapeok="t" o:connecttype="rect"/>
            </v:shapetype>
            <v:shape id="Text Box 2" o:spid="_x0000_s1026" type="#_x0000_t202" alt="C2 - Confidential" style="position:absolute;margin-left:0;margin-top:0;width:80.35pt;height:28.4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" filled="f" stroked="f">
              <v:fill o:detectmouseclick="t"/>
              <v:textbox style="mso-fit-shape-to-text:t" inset="0,15pt,0,0">
                <w:txbxContent>
                  <w:p w14:paraId="1AE9BDDC" w14:textId="1425694E" w:rsidR="00971DA1" w:rsidRPr="00971DA1" w:rsidRDefault="00971DA1" w:rsidP="00971DA1">
                    <w:pPr>
                      <w:rPr>
                        <w:rFonts w:ascii="Aptos" w:eastAsia="Aptos" w:hAnsi="Aptos" w:cs="Aptos"/>
                        <w:noProof/>
                        <w:color w:val="000000"/>
                        <w:sz w:val="22"/>
                        <w:szCs w:val="22"/>
                      </w:rPr>
                    </w:pPr>
                    <w:r w:rsidRPr="00971DA1">
                      <w:rPr>
                        <w:rFonts w:ascii="Aptos" w:eastAsia="Aptos" w:hAnsi="Aptos" w:cs="Aptos"/>
                        <w:noProof/>
                        <w:color w:val="000000"/>
                        <w:sz w:val="22"/>
                        <w:szCs w:val="22"/>
                      </w:rPr>
                      <w:t>C2 -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FBCA" w14:textId="576F5A2A" w:rsidR="00D278E7" w:rsidRDefault="00971DA1">
    <w:pPr>
      <w:pBdr>
        <w:bottom w:val="single" w:sz="6" w:space="1" w:color="1F3864"/>
      </w:pBdr>
      <w:spacing w:after="60"/>
      <w:jc w:val="right"/>
    </w:pPr>
    <w:r>
      <w:rPr>
        <w:b/>
        <w:bCs/>
        <w:noProof/>
        <w:color w:val="1F3864"/>
        <w:sz w:val="18"/>
        <w:szCs w:val="18"/>
      </w:rPr>
      <mc:AlternateContent>
        <mc:Choice Requires="wps">
          <w:drawing>
            <wp:anchor distT="0" distB="0" distL="0" distR="0" simplePos="0" relativeHeight="251662336" behindDoc="0" locked="0" layoutInCell="1" allowOverlap="1" wp14:anchorId="65E2F31E" wp14:editId="53B92742">
              <wp:simplePos x="687629" y="453542"/>
              <wp:positionH relativeFrom="page">
                <wp:align>center</wp:align>
              </wp:positionH>
              <wp:positionV relativeFrom="page">
                <wp:align>top</wp:align>
              </wp:positionV>
              <wp:extent cx="1020445" cy="361315"/>
              <wp:effectExtent l="0" t="0" r="8255" b="635"/>
              <wp:wrapNone/>
              <wp:docPr id="2072806107" name="Text Box 3" descr="C2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20445" cy="361315"/>
                      </a:xfrm>
                      <a:prstGeom prst="rect">
                        <a:avLst/>
                      </a:prstGeom>
                      <a:noFill/>
                      <a:ln>
                        <a:noFill/>
                      </a:ln>
                    </wps:spPr>
                    <wps:txbx>
                      <w:txbxContent>
                        <w:p w14:paraId="52BF22EC" w14:textId="09AB9D1E" w:rsidR="00971DA1" w:rsidRPr="00971DA1" w:rsidRDefault="00971DA1" w:rsidP="00971DA1">
                          <w:pPr>
                            <w:rPr>
                              <w:rFonts w:ascii="Aptos" w:eastAsia="Aptos" w:hAnsi="Aptos" w:cs="Aptos"/>
                              <w:noProof/>
                              <w:color w:val="000000"/>
                              <w:sz w:val="22"/>
                              <w:szCs w:val="22"/>
                            </w:rPr>
                          </w:pPr>
                          <w:r w:rsidRPr="00971DA1">
                            <w:rPr>
                              <w:rFonts w:ascii="Aptos" w:eastAsia="Aptos" w:hAnsi="Aptos" w:cs="Aptos"/>
                              <w:noProof/>
                              <w:color w:val="000000"/>
                              <w:sz w:val="22"/>
                              <w:szCs w:val="22"/>
                            </w:rPr>
                            <w:t>C2 -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E2F31E" id="_x0000_t202" coordsize="21600,21600" o:spt="202" path="m,l,21600r21600,l21600,xe">
              <v:stroke joinstyle="miter"/>
              <v:path gradientshapeok="t" o:connecttype="rect"/>
            </v:shapetype>
            <v:shape id="Text Box 3" o:spid="_x0000_s1027" type="#_x0000_t202" alt="C2 - Confidential" style="position:absolute;left:0;text-align:left;margin-left:0;margin-top:0;width:80.35pt;height:28.4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" filled="f" stroked="f">
              <v:fill o:detectmouseclick="t"/>
              <v:textbox style="mso-fit-shape-to-text:t" inset="0,15pt,0,0">
                <w:txbxContent>
                  <w:p w14:paraId="52BF22EC" w14:textId="09AB9D1E" w:rsidR="00971DA1" w:rsidRPr="00971DA1" w:rsidRDefault="00971DA1" w:rsidP="00971DA1">
                    <w:pPr>
                      <w:rPr>
                        <w:rFonts w:ascii="Aptos" w:eastAsia="Aptos" w:hAnsi="Aptos" w:cs="Aptos"/>
                        <w:noProof/>
                        <w:color w:val="000000"/>
                        <w:sz w:val="22"/>
                        <w:szCs w:val="22"/>
                      </w:rPr>
                    </w:pPr>
                    <w:r w:rsidRPr="00971DA1">
                      <w:rPr>
                        <w:rFonts w:ascii="Aptos" w:eastAsia="Aptos" w:hAnsi="Aptos" w:cs="Aptos"/>
                        <w:noProof/>
                        <w:color w:val="000000"/>
                        <w:sz w:val="22"/>
                        <w:szCs w:val="22"/>
                      </w:rPr>
                      <w:t>C2 - Confidential</w:t>
                    </w:r>
                  </w:p>
                </w:txbxContent>
              </v:textbox>
              <w10:wrap anchorx="page" anchory="page"/>
            </v:shape>
          </w:pict>
        </mc:Fallback>
      </mc:AlternateContent>
    </w:r>
    <w:sdt>
      <w:sdtPr>
        <w:rPr>
          <w:b/>
          <w:bCs/>
          <w:color w:val="1F3864"/>
          <w:sz w:val="18"/>
          <w:szCs w:val="18"/>
        </w:rPr>
        <w:id w:val="62147212"/>
        <w:docPartObj>
          <w:docPartGallery w:val="Watermarks"/>
          <w:docPartUnique/>
        </w:docPartObj>
      </w:sdtPr>
      <w:sdtContent>
        <w:r w:rsidR="006D563A" w:rsidRPr="006D563A">
          <w:rPr>
            <w:b/>
            <w:bCs/>
            <w:noProof/>
            <w:color w:val="1F3864"/>
            <w:sz w:val="18"/>
            <w:szCs w:val="18"/>
          </w:rPr>
          <w:pict w14:anchorId="0958D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00000">
      <w:rPr>
        <w:b/>
        <w:bCs/>
        <w:color w:val="1F3864"/>
        <w:sz w:val="18"/>
        <w:szCs w:val="18"/>
      </w:rPr>
      <w:t xml:space="preserve">Town of Mendon </w:t>
    </w:r>
    <w:r w:rsidR="00000000">
      <w:rPr>
        <w:color w:val="666666"/>
        <w:sz w:val="18"/>
        <w:szCs w:val="18"/>
      </w:rPr>
      <w:t>|  Procurement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9D17" w14:textId="7D8413EE" w:rsidR="00971DA1" w:rsidRDefault="00971DA1">
    <w:pPr>
      <w:pStyle w:val="Header"/>
    </w:pPr>
    <w:r>
      <w:rPr>
        <w:noProof/>
      </w:rPr>
      <mc:AlternateContent>
        <mc:Choice Requires="wps">
          <w:drawing>
            <wp:anchor distT="0" distB="0" distL="0" distR="0" simplePos="0" relativeHeight="251660288" behindDoc="0" locked="0" layoutInCell="1" allowOverlap="1" wp14:anchorId="4EFD8B98" wp14:editId="6D7030DC">
              <wp:simplePos x="635" y="635"/>
              <wp:positionH relativeFrom="page">
                <wp:align>center</wp:align>
              </wp:positionH>
              <wp:positionV relativeFrom="page">
                <wp:align>top</wp:align>
              </wp:positionV>
              <wp:extent cx="1020445" cy="361315"/>
              <wp:effectExtent l="0" t="0" r="8255" b="635"/>
              <wp:wrapNone/>
              <wp:docPr id="1082807244" name="Text Box 1" descr="C2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20445" cy="361315"/>
                      </a:xfrm>
                      <a:prstGeom prst="rect">
                        <a:avLst/>
                      </a:prstGeom>
                      <a:noFill/>
                      <a:ln>
                        <a:noFill/>
                      </a:ln>
                    </wps:spPr>
                    <wps:txbx>
                      <w:txbxContent>
                        <w:p w14:paraId="5373576D" w14:textId="0AEDDBC0" w:rsidR="00971DA1" w:rsidRPr="00971DA1" w:rsidRDefault="00971DA1" w:rsidP="00971DA1">
                          <w:pPr>
                            <w:rPr>
                              <w:rFonts w:ascii="Aptos" w:eastAsia="Aptos" w:hAnsi="Aptos" w:cs="Aptos"/>
                              <w:noProof/>
                              <w:color w:val="000000"/>
                              <w:sz w:val="22"/>
                              <w:szCs w:val="22"/>
                            </w:rPr>
                          </w:pPr>
                          <w:r w:rsidRPr="00971DA1">
                            <w:rPr>
                              <w:rFonts w:ascii="Aptos" w:eastAsia="Aptos" w:hAnsi="Aptos" w:cs="Aptos"/>
                              <w:noProof/>
                              <w:color w:val="000000"/>
                              <w:sz w:val="22"/>
                              <w:szCs w:val="22"/>
                            </w:rPr>
                            <w:t>C2 -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FD8B98" id="_x0000_t202" coordsize="21600,21600" o:spt="202" path="m,l,21600r21600,l21600,xe">
              <v:stroke joinstyle="miter"/>
              <v:path gradientshapeok="t" o:connecttype="rect"/>
            </v:shapetype>
            <v:shape id="Text Box 1" o:spid="_x0000_s1028" type="#_x0000_t202" alt="C2 - Confidential" style="position:absolute;margin-left:0;margin-top:0;width:80.35pt;height:28.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" filled="f" stroked="f">
              <v:fill o:detectmouseclick="t"/>
              <v:textbox style="mso-fit-shape-to-text:t" inset="0,15pt,0,0">
                <w:txbxContent>
                  <w:p w14:paraId="5373576D" w14:textId="0AEDDBC0" w:rsidR="00971DA1" w:rsidRPr="00971DA1" w:rsidRDefault="00971DA1" w:rsidP="00971DA1">
                    <w:pPr>
                      <w:rPr>
                        <w:rFonts w:ascii="Aptos" w:eastAsia="Aptos" w:hAnsi="Aptos" w:cs="Aptos"/>
                        <w:noProof/>
                        <w:color w:val="000000"/>
                        <w:sz w:val="22"/>
                        <w:szCs w:val="22"/>
                      </w:rPr>
                    </w:pPr>
                    <w:r w:rsidRPr="00971DA1">
                      <w:rPr>
                        <w:rFonts w:ascii="Aptos" w:eastAsia="Aptos" w:hAnsi="Aptos" w:cs="Aptos"/>
                        <w:noProof/>
                        <w:color w:val="000000"/>
                        <w:sz w:val="22"/>
                        <w:szCs w:val="22"/>
                      </w:rPr>
                      <w:t>C2 -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676AE"/>
    <w:multiLevelType w:val="hybridMultilevel"/>
    <w:tmpl w:val="96884CA0"/>
    <w:lvl w:ilvl="0" w:tplc="12D0F57A">
      <w:start w:val="1"/>
      <w:numFmt w:val="decimal"/>
      <w:lvlText w:val="%1."/>
      <w:lvlJc w:val="left"/>
      <w:pPr>
        <w:ind w:left="720" w:hanging="360"/>
      </w:pPr>
    </w:lvl>
    <w:lvl w:ilvl="1" w:tplc="FDF2E2DA">
      <w:numFmt w:val="decimal"/>
      <w:lvlText w:val=""/>
      <w:lvlJc w:val="left"/>
    </w:lvl>
    <w:lvl w:ilvl="2" w:tplc="776A958E">
      <w:numFmt w:val="decimal"/>
      <w:lvlText w:val=""/>
      <w:lvlJc w:val="left"/>
    </w:lvl>
    <w:lvl w:ilvl="3" w:tplc="FDF689DC">
      <w:numFmt w:val="decimal"/>
      <w:lvlText w:val=""/>
      <w:lvlJc w:val="left"/>
    </w:lvl>
    <w:lvl w:ilvl="4" w:tplc="4322F1FE">
      <w:numFmt w:val="decimal"/>
      <w:lvlText w:val=""/>
      <w:lvlJc w:val="left"/>
    </w:lvl>
    <w:lvl w:ilvl="5" w:tplc="35F4635A">
      <w:numFmt w:val="decimal"/>
      <w:lvlText w:val=""/>
      <w:lvlJc w:val="left"/>
    </w:lvl>
    <w:lvl w:ilvl="6" w:tplc="CBD06012">
      <w:numFmt w:val="decimal"/>
      <w:lvlText w:val=""/>
      <w:lvlJc w:val="left"/>
    </w:lvl>
    <w:lvl w:ilvl="7" w:tplc="082609EC">
      <w:numFmt w:val="decimal"/>
      <w:lvlText w:val=""/>
      <w:lvlJc w:val="left"/>
    </w:lvl>
    <w:lvl w:ilvl="8" w:tplc="DDF4967C">
      <w:numFmt w:val="decimal"/>
      <w:lvlText w:val=""/>
      <w:lvlJc w:val="left"/>
    </w:lvl>
  </w:abstractNum>
  <w:abstractNum w:abstractNumId="1" w15:restartNumberingAfterBreak="0">
    <w:nsid w:val="396A67F3"/>
    <w:multiLevelType w:val="hybridMultilevel"/>
    <w:tmpl w:val="3BF6D178"/>
    <w:lvl w:ilvl="0" w:tplc="9B9E655C">
      <w:start w:val="1"/>
      <w:numFmt w:val="bullet"/>
      <w:lvlText w:val="•"/>
      <w:lvlJc w:val="left"/>
      <w:pPr>
        <w:ind w:left="720" w:hanging="360"/>
      </w:pPr>
    </w:lvl>
    <w:lvl w:ilvl="1" w:tplc="015A318E">
      <w:numFmt w:val="decimal"/>
      <w:lvlText w:val=""/>
      <w:lvlJc w:val="left"/>
    </w:lvl>
    <w:lvl w:ilvl="2" w:tplc="80D61418">
      <w:numFmt w:val="decimal"/>
      <w:lvlText w:val=""/>
      <w:lvlJc w:val="left"/>
    </w:lvl>
    <w:lvl w:ilvl="3" w:tplc="51A490A4">
      <w:numFmt w:val="decimal"/>
      <w:lvlText w:val=""/>
      <w:lvlJc w:val="left"/>
    </w:lvl>
    <w:lvl w:ilvl="4" w:tplc="654CB068">
      <w:numFmt w:val="decimal"/>
      <w:lvlText w:val=""/>
      <w:lvlJc w:val="left"/>
    </w:lvl>
    <w:lvl w:ilvl="5" w:tplc="1EF4015E">
      <w:numFmt w:val="decimal"/>
      <w:lvlText w:val=""/>
      <w:lvlJc w:val="left"/>
    </w:lvl>
    <w:lvl w:ilvl="6" w:tplc="F500B7CA">
      <w:numFmt w:val="decimal"/>
      <w:lvlText w:val=""/>
      <w:lvlJc w:val="left"/>
    </w:lvl>
    <w:lvl w:ilvl="7" w:tplc="371A6BAE">
      <w:numFmt w:val="decimal"/>
      <w:lvlText w:val=""/>
      <w:lvlJc w:val="left"/>
    </w:lvl>
    <w:lvl w:ilvl="8" w:tplc="611E1B5A">
      <w:numFmt w:val="decimal"/>
      <w:lvlText w:val=""/>
      <w:lvlJc w:val="left"/>
    </w:lvl>
  </w:abstractNum>
  <w:abstractNum w:abstractNumId="2" w15:restartNumberingAfterBreak="0">
    <w:nsid w:val="614E2A5A"/>
    <w:multiLevelType w:val="hybridMultilevel"/>
    <w:tmpl w:val="CF80FD82"/>
    <w:lvl w:ilvl="0" w:tplc="1728B994">
      <w:start w:val="1"/>
      <w:numFmt w:val="bullet"/>
      <w:lvlText w:val="●"/>
      <w:lvlJc w:val="left"/>
      <w:pPr>
        <w:ind w:left="720" w:hanging="360"/>
      </w:pPr>
    </w:lvl>
    <w:lvl w:ilvl="1" w:tplc="095C6812">
      <w:start w:val="1"/>
      <w:numFmt w:val="bullet"/>
      <w:lvlText w:val="○"/>
      <w:lvlJc w:val="left"/>
      <w:pPr>
        <w:ind w:left="1440" w:hanging="360"/>
      </w:pPr>
    </w:lvl>
    <w:lvl w:ilvl="2" w:tplc="039E1E5E">
      <w:start w:val="1"/>
      <w:numFmt w:val="bullet"/>
      <w:lvlText w:val="■"/>
      <w:lvlJc w:val="left"/>
      <w:pPr>
        <w:ind w:left="2160" w:hanging="360"/>
      </w:pPr>
    </w:lvl>
    <w:lvl w:ilvl="3" w:tplc="62F0251E">
      <w:start w:val="1"/>
      <w:numFmt w:val="bullet"/>
      <w:lvlText w:val="●"/>
      <w:lvlJc w:val="left"/>
      <w:pPr>
        <w:ind w:left="2880" w:hanging="360"/>
      </w:pPr>
    </w:lvl>
    <w:lvl w:ilvl="4" w:tplc="51489840">
      <w:start w:val="1"/>
      <w:numFmt w:val="bullet"/>
      <w:lvlText w:val="○"/>
      <w:lvlJc w:val="left"/>
      <w:pPr>
        <w:ind w:left="3600" w:hanging="360"/>
      </w:pPr>
    </w:lvl>
    <w:lvl w:ilvl="5" w:tplc="48FC601A">
      <w:start w:val="1"/>
      <w:numFmt w:val="bullet"/>
      <w:lvlText w:val="■"/>
      <w:lvlJc w:val="left"/>
      <w:pPr>
        <w:ind w:left="4320" w:hanging="360"/>
      </w:pPr>
    </w:lvl>
    <w:lvl w:ilvl="6" w:tplc="5CB4BDAE">
      <w:start w:val="1"/>
      <w:numFmt w:val="bullet"/>
      <w:lvlText w:val="●"/>
      <w:lvlJc w:val="left"/>
      <w:pPr>
        <w:ind w:left="5040" w:hanging="360"/>
      </w:pPr>
    </w:lvl>
    <w:lvl w:ilvl="7" w:tplc="47ECB3B8">
      <w:start w:val="1"/>
      <w:numFmt w:val="bullet"/>
      <w:lvlText w:val="●"/>
      <w:lvlJc w:val="left"/>
      <w:pPr>
        <w:ind w:left="5760" w:hanging="360"/>
      </w:pPr>
    </w:lvl>
    <w:lvl w:ilvl="8" w:tplc="093A534E">
      <w:start w:val="1"/>
      <w:numFmt w:val="bullet"/>
      <w:lvlText w:val="●"/>
      <w:lvlJc w:val="left"/>
      <w:pPr>
        <w:ind w:left="6480" w:hanging="360"/>
      </w:pPr>
    </w:lvl>
  </w:abstractNum>
  <w:num w:numId="1" w16cid:durableId="1524707418">
    <w:abstractNumId w:val="2"/>
    <w:lvlOverride w:ilvl="0">
      <w:startOverride w:val="1"/>
    </w:lvlOverride>
  </w:num>
  <w:num w:numId="2" w16cid:durableId="150647968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8E7"/>
    <w:rsid w:val="0009700D"/>
    <w:rsid w:val="000A5B64"/>
    <w:rsid w:val="00575212"/>
    <w:rsid w:val="006D563A"/>
    <w:rsid w:val="00971DA1"/>
    <w:rsid w:val="00A15BEB"/>
    <w:rsid w:val="00D2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02E7F"/>
  <w15:docId w15:val="{A4C06DA1-9E32-4C4B-A4F3-400C8DB8D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20"/>
      <w:outlineLvl w:val="0"/>
    </w:pPr>
    <w:rPr>
      <w:b/>
      <w:bCs/>
      <w:color w:val="1F3864"/>
      <w:sz w:val="28"/>
      <w:szCs w:val="28"/>
    </w:rPr>
  </w:style>
  <w:style w:type="paragraph" w:styleId="Heading2">
    <w:name w:val="heading 2"/>
    <w:uiPriority w:val="9"/>
    <w:unhideWhenUsed/>
    <w:qFormat/>
    <w:pPr>
      <w:spacing w:before="200" w:after="80"/>
      <w:outlineLvl w:val="1"/>
    </w:pPr>
    <w:rPr>
      <w:b/>
      <w:bCs/>
      <w:color w:val="2E5FA3"/>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15BEB"/>
    <w:pPr>
      <w:tabs>
        <w:tab w:val="center" w:pos="4680"/>
        <w:tab w:val="right" w:pos="9360"/>
      </w:tabs>
    </w:pPr>
  </w:style>
  <w:style w:type="character" w:customStyle="1" w:styleId="HeaderChar">
    <w:name w:val="Header Char"/>
    <w:basedOn w:val="DefaultParagraphFont"/>
    <w:link w:val="Header"/>
    <w:uiPriority w:val="99"/>
    <w:rsid w:val="00A15BEB"/>
  </w:style>
  <w:style w:type="paragraph" w:styleId="Footer">
    <w:name w:val="footer"/>
    <w:basedOn w:val="Normal"/>
    <w:link w:val="FooterChar"/>
    <w:uiPriority w:val="99"/>
    <w:unhideWhenUsed/>
    <w:rsid w:val="00A15BEB"/>
    <w:pPr>
      <w:tabs>
        <w:tab w:val="center" w:pos="4680"/>
        <w:tab w:val="right" w:pos="9360"/>
      </w:tabs>
    </w:pPr>
  </w:style>
  <w:style w:type="character" w:customStyle="1" w:styleId="FooterChar">
    <w:name w:val="Footer Char"/>
    <w:basedOn w:val="DefaultParagraphFont"/>
    <w:link w:val="Footer"/>
    <w:uiPriority w:val="99"/>
    <w:rsid w:val="00A15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1497</Words>
  <Characters>8534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Tanner Cheek</cp:lastModifiedBy>
  <cp:revision>2</cp:revision>
  <cp:lastPrinted>2026-04-29T15:24:00Z</cp:lastPrinted>
  <dcterms:created xsi:type="dcterms:W3CDTF">2026-05-06T14:56:00Z</dcterms:created>
  <dcterms:modified xsi:type="dcterms:W3CDTF">2026-05-06T14:56:00Z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408a53cc,420265dc,7b8c82db</vt:lpwstr>
  </property>
  <property fmtid="{D5CDD505-2E9C-101B-9397-08002B2CF9AE}" pid="3" name="ClassificationContentMarkingHeaderFontProps">
    <vt:lpwstr>#000000,11,Aptos</vt:lpwstr>
  </property>
  <property fmtid="{D5CDD505-2E9C-101B-9397-08002B2CF9AE}" pid="4" name="ClassificationContentMarkingHeaderText">
    <vt:lpwstr>C2 - Confidential</vt:lpwstr>
  </property>
  <property fmtid="{D5CDD505-2E9C-101B-9397-08002B2CF9AE}" pid="5" name="MSIP_Label_36fef848-55b7-414c-8e5d-50697d030e75_Enabled">
    <vt:lpwstr>true</vt:lpwstr>
  </property>
  <property fmtid="{D5CDD505-2E9C-101B-9397-08002B2CF9AE}" pid="6" name="MSIP_Label_36fef848-55b7-414c-8e5d-50697d030e75_SetDate">
    <vt:lpwstr>2026-05-06T14:56:33Z</vt:lpwstr>
  </property>
  <property fmtid="{D5CDD505-2E9C-101B-9397-08002B2CF9AE}" pid="7" name="MSIP_Label_36fef848-55b7-414c-8e5d-50697d030e75_Method">
    <vt:lpwstr>Standard</vt:lpwstr>
  </property>
  <property fmtid="{D5CDD505-2E9C-101B-9397-08002B2CF9AE}" pid="8" name="MSIP_Label_36fef848-55b7-414c-8e5d-50697d030e75_Name">
    <vt:lpwstr>C2 - Confidential</vt:lpwstr>
  </property>
  <property fmtid="{D5CDD505-2E9C-101B-9397-08002B2CF9AE}" pid="9" name="MSIP_Label_36fef848-55b7-414c-8e5d-50697d030e75_SiteId">
    <vt:lpwstr>a263030c-9c1b-421f-9471-1dec0b29c664</vt:lpwstr>
  </property>
  <property fmtid="{D5CDD505-2E9C-101B-9397-08002B2CF9AE}" pid="10" name="MSIP_Label_36fef848-55b7-414c-8e5d-50697d030e75_ActionId">
    <vt:lpwstr>aeb87ece-e2a6-4223-b777-8078a11a68b5</vt:lpwstr>
  </property>
  <property fmtid="{D5CDD505-2E9C-101B-9397-08002B2CF9AE}" pid="11" name="MSIP_Label_36fef848-55b7-414c-8e5d-50697d030e75_ContentBits">
    <vt:lpwstr>1</vt:lpwstr>
  </property>
  <property fmtid="{D5CDD505-2E9C-101B-9397-08002B2CF9AE}" pid="12" name="MSIP_Label_36fef848-55b7-414c-8e5d-50697d030e75_Tag">
    <vt:lpwstr>10, 3, 0, 1</vt:lpwstr>
  </property>
</Properties>
</file>